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6DD" w14:textId="22626AE3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E85823">
        <w:rPr>
          <w:rFonts w:ascii="Times New Roman" w:hAnsi="Times New Roman" w:cs="Times New Roman"/>
          <w:b/>
          <w:bCs/>
          <w:sz w:val="24"/>
          <w:szCs w:val="24"/>
        </w:rPr>
        <w:t>XLII/267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439A2AE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5222B13F" w14:textId="77777777" w:rsidR="00490077" w:rsidRPr="00CD7BAC" w:rsidRDefault="00490077" w:rsidP="00DB7E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BAC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maja </w:t>
      </w:r>
      <w:r w:rsidRPr="00CD7BAC">
        <w:rPr>
          <w:rFonts w:ascii="Times New Roman" w:hAnsi="Times New Roman" w:cs="Times New Roman"/>
          <w:b/>
          <w:bCs/>
          <w:sz w:val="24"/>
          <w:szCs w:val="24"/>
        </w:rPr>
        <w:t>2023 roku</w:t>
      </w:r>
    </w:p>
    <w:p w14:paraId="17F69508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010E5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8551B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41A3AEF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w sprawie : zmian w budżecie Gminy Milejewo na 2023 rok.</w:t>
      </w:r>
    </w:p>
    <w:p w14:paraId="3D53BA44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01D9B91" w14:textId="77777777" w:rsidR="00490077" w:rsidRPr="00CD7BAC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Na podstawie art. 18 ust. 2 pkt 4, pkt 9 lit. „c”, „d” oraz lit. „i” ustawy z dnia 8 marca 1990 r. o samorządzie gminnym (tekst jednolity Dz. U. z 202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3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 r. poz.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40 ze zm.</w:t>
      </w:r>
      <w:r w:rsidRPr="00CD7BA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) oraz art. 211, art. 212,art.214,art.215,art. 216 ust. 2, art. 217, art. 218, art. 219 ust. 2, art. 220 ust. 1, art.222, art. 231 ust. 2, art.235,art.236 ust. 1-3, ust. 4 pkt 1, art. 237 , art. 239 ,art. 258 ust. 1 pkt 1, art. 264 ust. 3  ustawy z dnia 27 sierpnia 2009 r. o finansach publicznych (t. j. Dz. U. z 2022 r. poz. 1634 ze zm.) </w:t>
      </w:r>
    </w:p>
    <w:p w14:paraId="1AE5F3DA" w14:textId="77777777" w:rsidR="00490077" w:rsidRPr="00CD7BAC" w:rsidRDefault="00490077" w:rsidP="00490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D7BAC">
        <w:rPr>
          <w:rFonts w:ascii="Times New Roman" w:eastAsiaTheme="minorHAnsi" w:hAnsi="Times New Roman" w:cs="Times New Roman"/>
          <w:b/>
          <w:bCs/>
          <w:sz w:val="24"/>
          <w:szCs w:val="24"/>
        </w:rPr>
        <w:t>Rada Gminy Milejewo uchwala, co następuje:</w:t>
      </w:r>
    </w:p>
    <w:p w14:paraId="02C8B470" w14:textId="7777777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§ 1.Uchwala się dochody budżetu 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gminy na 2023 rok w wysokości 37</w:t>
      </w:r>
      <w:r>
        <w:rPr>
          <w:rFonts w:ascii="Times New Roman" w:eastAsiaTheme="minorHAnsi" w:hAnsi="Times New Roman" w:cs="Times New Roman"/>
          <w:sz w:val="24"/>
          <w:szCs w:val="24"/>
        </w:rPr>
        <w:t> 401 192,81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            na skutek ich zwiększenia o kwotę </w:t>
      </w:r>
      <w:r>
        <w:rPr>
          <w:rFonts w:ascii="Times New Roman" w:eastAsiaTheme="minorHAnsi" w:hAnsi="Times New Roman" w:cs="Times New Roman"/>
          <w:sz w:val="24"/>
          <w:szCs w:val="24"/>
        </w:rPr>
        <w:t>45 558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68BECFAD" w14:textId="7777777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>
        <w:rPr>
          <w:rFonts w:ascii="Times New Roman" w:eastAsiaTheme="minorHAnsi" w:hAnsi="Times New Roman" w:cs="Times New Roman"/>
          <w:sz w:val="24"/>
          <w:szCs w:val="24"/>
        </w:rPr>
        <w:t>6 009 516,54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7B321961" w14:textId="7777777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majątkowe   -   21</w:t>
      </w:r>
      <w:r>
        <w:rPr>
          <w:rFonts w:ascii="Times New Roman" w:eastAsiaTheme="minorHAnsi" w:hAnsi="Times New Roman" w:cs="Times New Roman"/>
          <w:sz w:val="24"/>
          <w:szCs w:val="24"/>
        </w:rPr>
        <w:t> 391 676,27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4C04A6E8" w14:textId="77777777" w:rsidR="00490077" w:rsidRPr="00C876D7" w:rsidRDefault="00490077" w:rsidP="00490077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§ 2. Uchwala się wydatki budżetu gminy na 2023 rok w wysokości 39</w:t>
      </w:r>
      <w:r>
        <w:rPr>
          <w:rFonts w:ascii="Times New Roman" w:eastAsiaTheme="minorHAnsi" w:hAnsi="Times New Roman" w:cs="Times New Roman"/>
          <w:sz w:val="24"/>
          <w:szCs w:val="24"/>
        </w:rPr>
        <w:t> 531 672,73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na skutek ich zwiększenia o kwotę </w:t>
      </w:r>
      <w:r>
        <w:rPr>
          <w:rFonts w:ascii="Times New Roman" w:eastAsiaTheme="minorHAnsi" w:hAnsi="Times New Roman" w:cs="Times New Roman"/>
          <w:sz w:val="24"/>
          <w:szCs w:val="24"/>
        </w:rPr>
        <w:t>45 558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2, w tym:</w:t>
      </w:r>
    </w:p>
    <w:p w14:paraId="6983F81B" w14:textId="77777777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bieżące      -  15</w:t>
      </w:r>
      <w:r>
        <w:rPr>
          <w:rFonts w:ascii="Times New Roman" w:eastAsiaTheme="minorHAnsi" w:hAnsi="Times New Roman" w:cs="Times New Roman"/>
          <w:sz w:val="24"/>
          <w:szCs w:val="24"/>
        </w:rPr>
        <w:t> 598 725,52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6D21E3F" w14:textId="77777777" w:rsidR="00490077" w:rsidRPr="00C876D7" w:rsidRDefault="00490077" w:rsidP="0049007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sz w:val="24"/>
          <w:szCs w:val="24"/>
        </w:rPr>
        <w:t>majątkowe -  23</w:t>
      </w:r>
      <w:r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>9</w:t>
      </w:r>
      <w:r>
        <w:rPr>
          <w:rFonts w:ascii="Times New Roman" w:eastAsiaTheme="minorHAnsi" w:hAnsi="Times New Roman" w:cs="Times New Roman"/>
          <w:sz w:val="24"/>
          <w:szCs w:val="24"/>
        </w:rPr>
        <w:t>32 947,21</w:t>
      </w:r>
      <w:r w:rsidRPr="00C876D7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45DF02B8" w14:textId="413EB3F7" w:rsidR="00490077" w:rsidRPr="00093C26" w:rsidRDefault="00490077" w:rsidP="00490077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§ 3</w:t>
      </w:r>
      <w:r w:rsidRPr="00C52F3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123F">
        <w:rPr>
          <w:rFonts w:ascii="Times New Roman" w:hAnsi="Times New Roman" w:cs="Times New Roman"/>
          <w:sz w:val="24"/>
          <w:szCs w:val="24"/>
        </w:rPr>
        <w:t>chwala</w:t>
      </w:r>
      <w:r>
        <w:rPr>
          <w:rFonts w:ascii="Times New Roman" w:hAnsi="Times New Roman" w:cs="Times New Roman"/>
          <w:sz w:val="24"/>
          <w:szCs w:val="24"/>
        </w:rPr>
        <w:t xml:space="preserve"> się wydatki na zadania inwestycyjne na 2023 r., zgodnie z załącznikiem  Nr 3.</w:t>
      </w:r>
    </w:p>
    <w:p w14:paraId="177830A7" w14:textId="77777777" w:rsidR="00490077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347">
        <w:rPr>
          <w:rFonts w:ascii="Times New Roman" w:eastAsiaTheme="minorHAnsi" w:hAnsi="Times New Roman" w:cs="Times New Roman"/>
          <w:sz w:val="24"/>
          <w:szCs w:val="24"/>
        </w:rPr>
        <w:t xml:space="preserve">§ 4. </w:t>
      </w:r>
      <w:r>
        <w:rPr>
          <w:rFonts w:ascii="Times New Roman" w:eastAsiaTheme="minorHAnsi" w:hAnsi="Times New Roman" w:cs="Times New Roman"/>
          <w:sz w:val="24"/>
          <w:szCs w:val="24"/>
        </w:rPr>
        <w:t>Uchwala się dochody i wydatki związane z realizacją zadań realizowanych na podstawie umów lub porozumień między jednostkami samorządu terytorialnego    w 2023 r.,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zgodnie z</w:t>
      </w:r>
      <w:r>
        <w:rPr>
          <w:rFonts w:eastAsia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załącznikiem Nr 4.</w:t>
      </w:r>
    </w:p>
    <w:p w14:paraId="78EF280B" w14:textId="77777777" w:rsidR="00490077" w:rsidRPr="0011689D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. Uchwała  wchodzi w życie z dniem podjęcia i podlega ogłoszeniu w Dzienniku Urzędowym Województwa Warmińsko </w:t>
      </w:r>
      <w:r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11689D">
        <w:rPr>
          <w:rFonts w:ascii="Times New Roman" w:eastAsiaTheme="minorHAnsi" w:hAnsi="Times New Roman" w:cs="Times New Roman"/>
          <w:sz w:val="24"/>
          <w:szCs w:val="24"/>
        </w:rPr>
        <w:t xml:space="preserve"> Mazurskiego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F296A52" w14:textId="0C74C8BE" w:rsidR="00D70BD1" w:rsidRPr="0035389F" w:rsidRDefault="0035389F" w:rsidP="0035389F">
      <w:pPr>
        <w:ind w:left="5664"/>
        <w:rPr>
          <w:rFonts w:ascii="Times New Roman" w:hAnsi="Times New Roman" w:cs="Times New Roman"/>
          <w:i/>
          <w:iCs/>
        </w:rPr>
      </w:pPr>
      <w:r w:rsidRPr="0035389F">
        <w:rPr>
          <w:rFonts w:ascii="Times New Roman" w:hAnsi="Times New Roman" w:cs="Times New Roman"/>
          <w:i/>
          <w:iCs/>
        </w:rPr>
        <w:t>Przewodniczący Rady Gminy</w:t>
      </w:r>
    </w:p>
    <w:p w14:paraId="4CFBC3EA" w14:textId="4688E0A8" w:rsidR="0035389F" w:rsidRPr="0035389F" w:rsidRDefault="0035389F" w:rsidP="0035389F">
      <w:pPr>
        <w:ind w:left="566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Pr="0035389F">
        <w:rPr>
          <w:rFonts w:ascii="Times New Roman" w:hAnsi="Times New Roman" w:cs="Times New Roman"/>
          <w:i/>
          <w:iCs/>
        </w:rPr>
        <w:t>Zbigniew Banach</w:t>
      </w:r>
    </w:p>
    <w:p w14:paraId="4096EE77" w14:textId="77777777" w:rsidR="00490077" w:rsidRDefault="00490077"/>
    <w:p w14:paraId="38EA5AC6" w14:textId="77777777" w:rsidR="00490077" w:rsidRDefault="00490077"/>
    <w:p w14:paraId="218E6C1B" w14:textId="77777777" w:rsidR="00490077" w:rsidRDefault="00490077"/>
    <w:p w14:paraId="01CD91E6" w14:textId="77777777" w:rsidR="00490077" w:rsidRDefault="00490077"/>
    <w:p w14:paraId="44DF8430" w14:textId="77777777" w:rsidR="00490077" w:rsidRPr="00B03E7F" w:rsidRDefault="00490077" w:rsidP="004900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4DDEF709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7DB7E6B0" w14:textId="77777777" w:rsidR="00490077" w:rsidRPr="00C876D7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Zwiększa się budżet ogółem w kwocie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45 558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 i po zmianach:</w:t>
      </w:r>
    </w:p>
    <w:p w14:paraId="1319E6A6" w14:textId="77777777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Dochody wynoszą        37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 401 192,81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zł</w:t>
      </w:r>
    </w:p>
    <w:p w14:paraId="63B239C1" w14:textId="77777777" w:rsidR="00490077" w:rsidRPr="00C876D7" w:rsidRDefault="00490077" w:rsidP="00490077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>Wydatki wynoszą         39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531 672,73 </w:t>
      </w:r>
      <w:r w:rsidRPr="00C876D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zł               </w:t>
      </w:r>
    </w:p>
    <w:p w14:paraId="475E9DF2" w14:textId="77777777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DOCHODY</w:t>
      </w:r>
    </w:p>
    <w:p w14:paraId="13DE17EC" w14:textId="77777777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Bezpieczeństwo publiczne i ochrona przeciwpożarowa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dochody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3 284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4A486564" w14:textId="77777777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29695419"/>
      <w:bookmarkStart w:id="1" w:name="_Hlk127274678"/>
      <w:r>
        <w:rPr>
          <w:rFonts w:ascii="Times New Roman" w:eastAsiaTheme="minorHAnsi" w:hAnsi="Times New Roman" w:cs="Times New Roman"/>
          <w:sz w:val="24"/>
          <w:szCs w:val="24"/>
        </w:rPr>
        <w:t>1. Rozdział 75412 „Ochotnicze straże pożarne” zwiększa się  o kwotę 3 284 zł, w tym:</w:t>
      </w:r>
    </w:p>
    <w:p w14:paraId="5666910E" w14:textId="77777777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3 284 zł – dotacja celowa z tytułu pomocy finansowej udzielanej między jednostkami samorządu terytorialnego na dofinasowanie własnych zadań bieżących</w:t>
      </w:r>
      <w:bookmarkEnd w:id="0"/>
      <w:r>
        <w:rPr>
          <w:rFonts w:ascii="Times New Roman" w:eastAsiaTheme="minorHAnsi" w:hAnsi="Times New Roman" w:cs="Times New Roman"/>
          <w:sz w:val="24"/>
          <w:szCs w:val="24"/>
        </w:rPr>
        <w:t>, umowa OŚROL.3153.6.2023.KL zawarta z Powiatem Elbląskim na zakup toru przeszkód dla Młodzieżowych Drużyn Pożarniczych z jednostek Gminy Milejewo.</w:t>
      </w:r>
    </w:p>
    <w:p w14:paraId="37D7BD39" w14:textId="77777777" w:rsidR="00490077" w:rsidRPr="00867754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727411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dochody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35 274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A830633" w14:textId="77777777" w:rsidR="00490077" w:rsidRPr="00093C26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>Rozdział 80101 „Szkoły podstawowe” zwiększa się o kwotę 35 274 zł  w tym:</w:t>
      </w:r>
    </w:p>
    <w:p w14:paraId="3F91D235" w14:textId="77777777" w:rsidR="00490077" w:rsidRPr="00093C26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10 300 zł – wpływy z różnych dochodów,</w:t>
      </w:r>
    </w:p>
    <w:p w14:paraId="583A0282" w14:textId="4676F141" w:rsidR="00490077" w:rsidRPr="00B03E7F" w:rsidRDefault="00490077" w:rsidP="00514CB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24 974 zł –</w:t>
      </w:r>
      <w:r w:rsidRPr="0005157D">
        <w:rPr>
          <w:rFonts w:ascii="Times New Roman" w:hAnsi="Times New Roman" w:cs="Times New Roman"/>
          <w:color w:val="000000"/>
          <w:sz w:val="24"/>
          <w:szCs w:val="24"/>
        </w:rPr>
        <w:t xml:space="preserve"> dotacj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celowa otrzymana z budżetu państwa </w:t>
      </w:r>
      <w:r w:rsidR="00C20524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zadania bieżące realizowane przez gminę na podstawie porozumień z organami administracji rządowej- projekt „ Poznaj Polskę”.</w:t>
      </w:r>
    </w:p>
    <w:p w14:paraId="447F2B77" w14:textId="37AF562E" w:rsidR="00490077" w:rsidRPr="00923F9B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122591165"/>
      <w:bookmarkStart w:id="4" w:name="_Hlk135128673"/>
      <w:r>
        <w:rPr>
          <w:rFonts w:ascii="Times New Roman" w:eastAsiaTheme="minorHAnsi" w:hAnsi="Times New Roman" w:cs="Times New Roman"/>
          <w:b/>
          <w:sz w:val="24"/>
          <w:szCs w:val="24"/>
        </w:rPr>
        <w:t>III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dochody o kwotę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7</w:t>
      </w:r>
      <w:r w:rsidR="00AE1BD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000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5DB33FD5" w14:textId="77777777" w:rsidR="00490077" w:rsidRPr="00B03E7F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95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7 000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40A4B2C8" w14:textId="77777777" w:rsidR="00490077" w:rsidRPr="00936B7D" w:rsidRDefault="00490077" w:rsidP="00490077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5" w:name="_Hlk127276096"/>
      <w:bookmarkEnd w:id="2"/>
      <w:bookmarkEnd w:id="3"/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7 000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>– środki otrzymane od pozostałych jednostek zaliczanych do sektora finansów publicznych na realizację zadań bieżących jednostek zaliczanych do sektora finansów publicznych.</w:t>
      </w:r>
    </w:p>
    <w:bookmarkEnd w:id="4"/>
    <w:bookmarkEnd w:id="5"/>
    <w:p w14:paraId="096B8BC9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WYDATKI</w:t>
      </w:r>
    </w:p>
    <w:p w14:paraId="7DDE4B6C" w14:textId="77777777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75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Bezpieczeństwo publiczne i ochrona przeciwpożarowa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” z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większa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się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wydatki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 kwotę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3 284 </w:t>
      </w:r>
      <w:r w:rsidRPr="00E9444A">
        <w:rPr>
          <w:rFonts w:ascii="Times New Roman" w:eastAsiaTheme="minorHAnsi" w:hAnsi="Times New Roman" w:cs="Times New Roman"/>
          <w:b/>
          <w:bCs/>
          <w:sz w:val="24"/>
          <w:szCs w:val="24"/>
        </w:rPr>
        <w:t>zł :</w:t>
      </w:r>
    </w:p>
    <w:p w14:paraId="54007148" w14:textId="77777777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75412 „Ochotnicze straże pożarne” zwiększa się  o kwotę 3 284 zł, w tym:</w:t>
      </w:r>
    </w:p>
    <w:p w14:paraId="02613563" w14:textId="182037DD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3 284 zł  zakup materiałów i wyposażenia.</w:t>
      </w:r>
    </w:p>
    <w:p w14:paraId="6649D05C" w14:textId="77777777" w:rsidR="00490077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8CB3882" w14:textId="77777777" w:rsidR="00490077" w:rsidRPr="00867754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801 „Oświata i wychowanie” z</w:t>
      </w:r>
      <w:r>
        <w:rPr>
          <w:rFonts w:ascii="Times New Roman" w:hAnsi="Times New Roman" w:cs="Times New Roman"/>
          <w:b/>
          <w:bCs/>
          <w:sz w:val="24"/>
          <w:szCs w:val="24"/>
        </w:rPr>
        <w:t>większa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wydatki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bCs/>
          <w:sz w:val="24"/>
          <w:szCs w:val="24"/>
        </w:rPr>
        <w:t>35 274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743B0F6" w14:textId="77777777" w:rsidR="00490077" w:rsidRPr="00093C26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3C26">
        <w:rPr>
          <w:rFonts w:ascii="Times New Roman" w:hAnsi="Times New Roman" w:cs="Times New Roman"/>
          <w:sz w:val="24"/>
          <w:szCs w:val="24"/>
        </w:rPr>
        <w:t>Rozdział 80101 „Szkoły podstawowe” zwiększa się o kwotę 35 274 zł  w tym:</w:t>
      </w:r>
    </w:p>
    <w:p w14:paraId="2AE8B020" w14:textId="77777777" w:rsidR="00490077" w:rsidRPr="00093C26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34 794 zł zakup usług pozostałych,</w:t>
      </w:r>
    </w:p>
    <w:p w14:paraId="3BB97E89" w14:textId="77777777" w:rsidR="00490077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 xml:space="preserve"> </w:t>
      </w:r>
      <w:r w:rsidRPr="0005157D">
        <w:rPr>
          <w:rFonts w:ascii="Times New Roman" w:hAnsi="Times New Roman" w:cs="Times New Roman"/>
          <w:sz w:val="24"/>
          <w:szCs w:val="24"/>
        </w:rPr>
        <w:t>- z</w:t>
      </w:r>
      <w:r>
        <w:rPr>
          <w:rFonts w:ascii="Times New Roman" w:hAnsi="Times New Roman" w:cs="Times New Roman"/>
          <w:sz w:val="24"/>
          <w:szCs w:val="24"/>
        </w:rPr>
        <w:t xml:space="preserve">większa </w:t>
      </w:r>
      <w:r w:rsidRPr="0005157D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480 zł różne opłaty i składki.</w:t>
      </w:r>
    </w:p>
    <w:p w14:paraId="56382F7A" w14:textId="1FE36FAF" w:rsidR="00490077" w:rsidRPr="00923F9B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III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. Dział 900 „Gospodarka komunalna i  ochrona środowiska” zwiększa się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wydatki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o kwotę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7</w:t>
      </w:r>
      <w:r w:rsidR="003A6CE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000</w:t>
      </w:r>
      <w:r w:rsidRPr="00923F9B">
        <w:rPr>
          <w:rFonts w:ascii="Times New Roman" w:eastAsiaTheme="minorHAnsi" w:hAnsi="Times New Roman" w:cs="Times New Roman"/>
          <w:b/>
          <w:sz w:val="24"/>
          <w:szCs w:val="24"/>
        </w:rPr>
        <w:t xml:space="preserve">  zł</w:t>
      </w:r>
      <w:r w:rsidRPr="00923F9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14:paraId="44822FC4" w14:textId="77777777" w:rsidR="00490077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>Rozdział 900</w:t>
      </w:r>
      <w:r>
        <w:rPr>
          <w:rFonts w:ascii="Times New Roman" w:eastAsiaTheme="minorHAnsi" w:hAnsi="Times New Roman" w:cs="Times New Roman"/>
          <w:sz w:val="24"/>
          <w:szCs w:val="24"/>
        </w:rPr>
        <w:t>95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 w:cs="Times New Roman"/>
          <w:sz w:val="24"/>
          <w:szCs w:val="24"/>
        </w:rPr>
        <w:t>Pozostała działalność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” zwiększa się  o kwotę </w:t>
      </w:r>
      <w:r>
        <w:rPr>
          <w:rFonts w:ascii="Times New Roman" w:eastAsiaTheme="minorHAnsi" w:hAnsi="Times New Roman" w:cs="Times New Roman"/>
          <w:sz w:val="24"/>
          <w:szCs w:val="24"/>
        </w:rPr>
        <w:t>7 000</w:t>
      </w:r>
      <w:r w:rsidRPr="00923F9B">
        <w:rPr>
          <w:rFonts w:ascii="Times New Roman" w:eastAsiaTheme="minorHAnsi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516F40E1" w14:textId="77777777" w:rsidR="00490077" w:rsidRPr="00B03E7F" w:rsidRDefault="00490077" w:rsidP="00490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>- z</w:t>
      </w:r>
      <w:r>
        <w:rPr>
          <w:rFonts w:ascii="Times New Roman" w:eastAsiaTheme="minorHAnsi" w:hAnsi="Times New Roman" w:cs="Times New Roman"/>
          <w:sz w:val="24"/>
          <w:szCs w:val="24"/>
        </w:rPr>
        <w:t>mniejsza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7 500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zakup usług pozostałych,</w:t>
      </w:r>
    </w:p>
    <w:p w14:paraId="3418C6F0" w14:textId="77777777" w:rsidR="00490077" w:rsidRPr="00936B7D" w:rsidRDefault="00490077" w:rsidP="00490077">
      <w:pPr>
        <w:widowControl w:val="0"/>
        <w:tabs>
          <w:tab w:val="left" w:pos="360"/>
          <w:tab w:val="left" w:pos="45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14 500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 xml:space="preserve">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wydatki na zakupy inwestycyjne jednostek budżetowych. </w:t>
      </w:r>
    </w:p>
    <w:p w14:paraId="3594BECD" w14:textId="77777777" w:rsidR="00490077" w:rsidRPr="00E9444A" w:rsidRDefault="00490077" w:rsidP="0049007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668A19B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zwiększają się o kwotę 14 500 zł.,  zwiększa się o kwotę 14 500 zł. wydatki na zakupy inwestycyjne, w tym:</w:t>
      </w:r>
    </w:p>
    <w:p w14:paraId="170C76B3" w14:textId="77777777" w:rsidR="00490077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wprowadza się nowy zakup  p. n. „</w:t>
      </w:r>
      <w:r>
        <w:rPr>
          <w:rFonts w:ascii="Times New Roman" w:hAnsi="Times New Roman" w:cs="Times New Roman"/>
          <w:color w:val="000000"/>
          <w:sz w:val="24"/>
          <w:szCs w:val="24"/>
        </w:rPr>
        <w:t>zakup kserokopiarki SHARP BP-50C26 A3 kolor” z programu "Czyste powietrze"</w:t>
      </w:r>
      <w:r>
        <w:rPr>
          <w:rFonts w:ascii="Times New Roman" w:hAnsi="Times New Roman" w:cs="Times New Roman"/>
          <w:sz w:val="24"/>
          <w:szCs w:val="24"/>
        </w:rPr>
        <w:t xml:space="preserve"> – na kwotę 14 500 zł. </w:t>
      </w:r>
    </w:p>
    <w:p w14:paraId="54327E21" w14:textId="77777777" w:rsidR="00490077" w:rsidRPr="005D4261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01D8E4F" w14:textId="77777777" w:rsidR="00490077" w:rsidRPr="001B09AB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4A">
        <w:rPr>
          <w:rFonts w:asciiTheme="minorHAnsi" w:eastAsiaTheme="minorHAnsi" w:hAnsiTheme="minorHAnsi"/>
          <w:sz w:val="24"/>
          <w:szCs w:val="24"/>
        </w:rPr>
        <w:t xml:space="preserve"> </w:t>
      </w:r>
      <w:bookmarkStart w:id="6" w:name="_Hlk127277334"/>
      <w:r w:rsidRPr="001B09AB"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bookmarkEnd w:id="6"/>
    <w:p w14:paraId="78E929C3" w14:textId="77777777" w:rsidR="00490077" w:rsidRDefault="00490077" w:rsidP="0049007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3F41F78" w14:textId="77777777" w:rsidR="00490077" w:rsidRDefault="00490077" w:rsidP="00490077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 Rozdział 75023</w:t>
      </w:r>
    </w:p>
    <w:p w14:paraId="1B22DE2D" w14:textId="77777777" w:rsidR="00490077" w:rsidRPr="001B09AB" w:rsidRDefault="00490077" w:rsidP="00490077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3B23173" w14:textId="77777777" w:rsidR="00490077" w:rsidRPr="001B09AB" w:rsidRDefault="00490077" w:rsidP="0049007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FDF19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09AB">
        <w:rPr>
          <w:rFonts w:ascii="Times New Roman" w:eastAsiaTheme="minorHAnsi" w:hAnsi="Times New Roman" w:cs="Times New Roman"/>
          <w:sz w:val="24"/>
          <w:szCs w:val="24"/>
        </w:rPr>
        <w:t xml:space="preserve">Powyższe zmiany wprowadza się celem prawidłowego wykonania </w:t>
      </w:r>
      <w:r w:rsidRPr="00E9444A">
        <w:rPr>
          <w:rFonts w:ascii="Times New Roman" w:eastAsiaTheme="minorHAnsi" w:hAnsi="Times New Roman" w:cs="Times New Roman"/>
          <w:sz w:val="24"/>
          <w:szCs w:val="24"/>
        </w:rPr>
        <w:t>budżetu.</w:t>
      </w:r>
    </w:p>
    <w:p w14:paraId="0FBE7F27" w14:textId="77777777" w:rsidR="00490077" w:rsidRDefault="00490077" w:rsidP="00490077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D6D077A" w14:textId="3902D775" w:rsidR="0035389F" w:rsidRPr="0035389F" w:rsidRDefault="0035389F" w:rsidP="0035389F">
      <w:pPr>
        <w:ind w:left="5664"/>
        <w:rPr>
          <w:rFonts w:ascii="Times New Roman" w:hAnsi="Times New Roman" w:cs="Times New Roman"/>
          <w:i/>
          <w:iCs/>
        </w:rPr>
      </w:pPr>
      <w:r w:rsidRPr="0035389F">
        <w:rPr>
          <w:rFonts w:ascii="Times New Roman" w:hAnsi="Times New Roman" w:cs="Times New Roman"/>
          <w:i/>
          <w:iCs/>
        </w:rPr>
        <w:t>Przewodniczący Rady Gminy</w:t>
      </w:r>
    </w:p>
    <w:p w14:paraId="2AC48EBD" w14:textId="77777777" w:rsidR="0035389F" w:rsidRPr="0035389F" w:rsidRDefault="0035389F" w:rsidP="0035389F">
      <w:pPr>
        <w:ind w:left="566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Pr="0035389F">
        <w:rPr>
          <w:rFonts w:ascii="Times New Roman" w:hAnsi="Times New Roman" w:cs="Times New Roman"/>
          <w:i/>
          <w:iCs/>
        </w:rPr>
        <w:t>Zbigniew Banach</w:t>
      </w:r>
    </w:p>
    <w:p w14:paraId="1A20B012" w14:textId="51A4C412" w:rsidR="00490077" w:rsidRDefault="00490077" w:rsidP="0035389F">
      <w:pPr>
        <w:widowControl w:val="0"/>
        <w:tabs>
          <w:tab w:val="left" w:pos="56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FAFD19" w14:textId="77777777" w:rsidR="00490077" w:rsidRDefault="00490077"/>
    <w:p w14:paraId="53BAEB3E" w14:textId="77777777" w:rsidR="00490077" w:rsidRDefault="00490077"/>
    <w:sectPr w:rsidR="0049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930309569">
    <w:abstractNumId w:val="0"/>
  </w:num>
  <w:num w:numId="2" w16cid:durableId="160931468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77"/>
    <w:rsid w:val="0035389F"/>
    <w:rsid w:val="0039123F"/>
    <w:rsid w:val="003A6CE2"/>
    <w:rsid w:val="00490077"/>
    <w:rsid w:val="00514CB0"/>
    <w:rsid w:val="00AE1BD0"/>
    <w:rsid w:val="00C20524"/>
    <w:rsid w:val="00D70BD1"/>
    <w:rsid w:val="00DB7ED4"/>
    <w:rsid w:val="00E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7786"/>
  <w15:chartTrackingRefBased/>
  <w15:docId w15:val="{03E7F10A-4423-4ACB-A2F6-8E73D32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7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16</cp:revision>
  <cp:lastPrinted>2023-05-16T12:00:00Z</cp:lastPrinted>
  <dcterms:created xsi:type="dcterms:W3CDTF">2023-05-16T11:50:00Z</dcterms:created>
  <dcterms:modified xsi:type="dcterms:W3CDTF">2023-05-22T07:31:00Z</dcterms:modified>
</cp:coreProperties>
</file>