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9C8EE8" w14:textId="77777777" w:rsidR="00FF04E6" w:rsidRPr="00357908" w:rsidRDefault="00FF04E6" w:rsidP="00357908">
      <w:pPr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</w:p>
    <w:p w14:paraId="32D05D5C" w14:textId="0A5FA239" w:rsidR="00CF5998" w:rsidRPr="00357908" w:rsidRDefault="00357908" w:rsidP="000B394A">
      <w:pPr>
        <w:spacing w:after="12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357908">
        <w:rPr>
          <w:rFonts w:ascii="Times New Roman" w:hAnsi="Times New Roman" w:cs="Times New Roman"/>
          <w:b/>
          <w:bCs/>
          <w:sz w:val="22"/>
          <w:szCs w:val="22"/>
        </w:rPr>
        <w:t xml:space="preserve">Załącznik nr </w:t>
      </w:r>
      <w:r w:rsidR="00A27A63" w:rsidRPr="00357908"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="000B394A" w:rsidRPr="00357908"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="00CF5998" w:rsidRPr="00357908">
        <w:rPr>
          <w:rFonts w:ascii="Times New Roman" w:hAnsi="Times New Roman" w:cs="Times New Roman"/>
          <w:b/>
          <w:bCs/>
          <w:sz w:val="22"/>
          <w:szCs w:val="22"/>
        </w:rPr>
        <w:t xml:space="preserve"> do SWZ</w:t>
      </w:r>
    </w:p>
    <w:p w14:paraId="7E9A6105" w14:textId="77777777" w:rsidR="00CF5998" w:rsidRPr="00357908" w:rsidRDefault="00CF5998" w:rsidP="000B394A">
      <w:pPr>
        <w:spacing w:after="1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0388EB6A" w14:textId="77777777" w:rsidR="00CF5998" w:rsidRPr="00357908" w:rsidRDefault="00CF5998" w:rsidP="000B394A">
      <w:pPr>
        <w:spacing w:after="120"/>
        <w:jc w:val="center"/>
        <w:rPr>
          <w:rFonts w:ascii="Times New Roman" w:eastAsia="Lucida Sans Unicode" w:hAnsi="Times New Roman" w:cs="Times New Roman"/>
          <w:b/>
          <w:bCs/>
          <w:kern w:val="1"/>
          <w:sz w:val="22"/>
          <w:szCs w:val="22"/>
          <w:lang w:eastAsia="hi-IN" w:bidi="hi-IN"/>
        </w:rPr>
      </w:pPr>
    </w:p>
    <w:p w14:paraId="36BBF8E1" w14:textId="77777777" w:rsidR="00CF5998" w:rsidRPr="00357908" w:rsidRDefault="00CF5998" w:rsidP="000B394A">
      <w:pPr>
        <w:spacing w:after="120"/>
        <w:jc w:val="center"/>
        <w:rPr>
          <w:rFonts w:ascii="Times New Roman" w:eastAsia="Lucida Sans Unicode" w:hAnsi="Times New Roman" w:cs="Times New Roman"/>
          <w:b/>
          <w:bCs/>
          <w:kern w:val="1"/>
          <w:sz w:val="22"/>
          <w:szCs w:val="22"/>
          <w:lang w:eastAsia="hi-IN" w:bidi="hi-IN"/>
        </w:rPr>
      </w:pPr>
    </w:p>
    <w:p w14:paraId="3E1FD514" w14:textId="77777777" w:rsidR="00FF04E6" w:rsidRPr="00357908" w:rsidRDefault="00FF04E6" w:rsidP="000B394A">
      <w:pPr>
        <w:spacing w:after="120"/>
        <w:jc w:val="center"/>
        <w:rPr>
          <w:rFonts w:ascii="Times New Roman" w:eastAsia="Lucida Sans Unicode" w:hAnsi="Times New Roman" w:cs="Times New Roman"/>
          <w:b/>
          <w:bCs/>
          <w:kern w:val="1"/>
          <w:sz w:val="22"/>
          <w:szCs w:val="22"/>
          <w:lang w:eastAsia="hi-IN" w:bidi="hi-IN"/>
        </w:rPr>
      </w:pPr>
    </w:p>
    <w:p w14:paraId="7DF15C56" w14:textId="77777777" w:rsidR="00FF04E6" w:rsidRPr="00357908" w:rsidRDefault="00FF04E6" w:rsidP="000B394A">
      <w:pPr>
        <w:spacing w:after="120"/>
        <w:jc w:val="center"/>
        <w:rPr>
          <w:rFonts w:ascii="Times New Roman" w:eastAsia="Lucida Sans Unicode" w:hAnsi="Times New Roman" w:cs="Times New Roman"/>
          <w:b/>
          <w:bCs/>
          <w:kern w:val="1"/>
          <w:sz w:val="22"/>
          <w:szCs w:val="22"/>
          <w:lang w:eastAsia="hi-IN" w:bidi="hi-IN"/>
        </w:rPr>
      </w:pPr>
    </w:p>
    <w:p w14:paraId="4E14E0A0" w14:textId="77777777" w:rsidR="00FF04E6" w:rsidRPr="00357908" w:rsidRDefault="00FF04E6" w:rsidP="000B394A">
      <w:pPr>
        <w:spacing w:after="120"/>
        <w:jc w:val="center"/>
        <w:rPr>
          <w:rFonts w:ascii="Times New Roman" w:eastAsia="Lucida Sans Unicode" w:hAnsi="Times New Roman" w:cs="Times New Roman"/>
          <w:b/>
          <w:bCs/>
          <w:kern w:val="1"/>
          <w:sz w:val="22"/>
          <w:szCs w:val="22"/>
          <w:lang w:eastAsia="hi-IN" w:bidi="hi-IN"/>
        </w:rPr>
      </w:pPr>
    </w:p>
    <w:p w14:paraId="4504AF49" w14:textId="77777777" w:rsidR="00FF04E6" w:rsidRPr="00357908" w:rsidRDefault="00FF04E6" w:rsidP="000B394A">
      <w:pPr>
        <w:spacing w:after="120"/>
        <w:jc w:val="center"/>
        <w:rPr>
          <w:rFonts w:ascii="Times New Roman" w:eastAsia="Lucida Sans Unicode" w:hAnsi="Times New Roman" w:cs="Times New Roman"/>
          <w:b/>
          <w:bCs/>
          <w:kern w:val="1"/>
          <w:sz w:val="22"/>
          <w:szCs w:val="22"/>
          <w:lang w:eastAsia="hi-IN" w:bidi="hi-IN"/>
        </w:rPr>
      </w:pPr>
    </w:p>
    <w:p w14:paraId="2FB879D2" w14:textId="77777777" w:rsidR="00FF04E6" w:rsidRPr="00357908" w:rsidRDefault="00FF04E6" w:rsidP="000B394A">
      <w:pPr>
        <w:spacing w:after="120"/>
        <w:jc w:val="center"/>
        <w:rPr>
          <w:rFonts w:ascii="Times New Roman" w:eastAsia="Lucida Sans Unicode" w:hAnsi="Times New Roman" w:cs="Times New Roman"/>
          <w:b/>
          <w:bCs/>
          <w:kern w:val="1"/>
          <w:sz w:val="22"/>
          <w:szCs w:val="22"/>
          <w:lang w:eastAsia="hi-IN" w:bidi="hi-IN"/>
        </w:rPr>
      </w:pPr>
    </w:p>
    <w:p w14:paraId="7EB74C54" w14:textId="77777777" w:rsidR="00FF04E6" w:rsidRPr="00357908" w:rsidRDefault="00FF04E6" w:rsidP="000B394A">
      <w:pPr>
        <w:spacing w:after="120"/>
        <w:jc w:val="center"/>
        <w:rPr>
          <w:rFonts w:ascii="Times New Roman" w:eastAsia="Lucida Sans Unicode" w:hAnsi="Times New Roman" w:cs="Times New Roman"/>
          <w:b/>
          <w:bCs/>
          <w:kern w:val="1"/>
          <w:sz w:val="22"/>
          <w:szCs w:val="22"/>
          <w:lang w:eastAsia="hi-IN" w:bidi="hi-IN"/>
        </w:rPr>
      </w:pPr>
    </w:p>
    <w:p w14:paraId="45546970" w14:textId="5326487A" w:rsidR="00CF5998" w:rsidRPr="00357908" w:rsidRDefault="00CF5998" w:rsidP="000B394A">
      <w:pPr>
        <w:spacing w:after="120"/>
        <w:jc w:val="center"/>
        <w:rPr>
          <w:rFonts w:ascii="Times New Roman" w:eastAsia="Lucida Sans Unicode" w:hAnsi="Times New Roman" w:cs="Times New Roman"/>
          <w:b/>
          <w:bCs/>
          <w:i/>
          <w:iCs/>
          <w:kern w:val="1"/>
          <w:sz w:val="28"/>
          <w:szCs w:val="28"/>
          <w:lang w:eastAsia="hi-IN" w:bidi="hi-IN"/>
        </w:rPr>
      </w:pPr>
      <w:r w:rsidRPr="00357908">
        <w:rPr>
          <w:rFonts w:ascii="Times New Roman" w:eastAsia="Lucida Sans Unicode" w:hAnsi="Times New Roman" w:cs="Times New Roman"/>
          <w:b/>
          <w:bCs/>
          <w:i/>
          <w:iCs/>
          <w:kern w:val="1"/>
          <w:sz w:val="28"/>
          <w:szCs w:val="28"/>
          <w:lang w:eastAsia="hi-IN" w:bidi="hi-IN"/>
        </w:rPr>
        <w:t>Parametry minimalne sprzętu i oprogramowania</w:t>
      </w:r>
    </w:p>
    <w:p w14:paraId="36E75B6E" w14:textId="77777777" w:rsidR="00CF5998" w:rsidRPr="00357908" w:rsidRDefault="00CF5998" w:rsidP="000B394A">
      <w:pPr>
        <w:rPr>
          <w:rFonts w:ascii="Times New Roman" w:hAnsi="Times New Roman" w:cs="Times New Roman"/>
          <w:sz w:val="22"/>
          <w:szCs w:val="22"/>
        </w:rPr>
      </w:pPr>
      <w:r w:rsidRPr="00357908">
        <w:rPr>
          <w:rFonts w:ascii="Times New Roman" w:hAnsi="Times New Roman" w:cs="Times New Roman"/>
          <w:sz w:val="22"/>
          <w:szCs w:val="22"/>
        </w:rPr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kern w:val="2"/>
          <w:sz w:val="22"/>
          <w:szCs w:val="22"/>
          <w:lang w:eastAsia="en-US"/>
          <w14:ligatures w14:val="standardContextual"/>
        </w:rPr>
        <w:id w:val="-1915925023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59915D2A" w14:textId="076781FD" w:rsidR="00CF5998" w:rsidRPr="00357908" w:rsidRDefault="00CF5998" w:rsidP="000B394A">
          <w:pPr>
            <w:pStyle w:val="Nagwekspisutreci"/>
            <w:tabs>
              <w:tab w:val="left" w:pos="2577"/>
            </w:tabs>
            <w:spacing w:line="240" w:lineRule="auto"/>
            <w:rPr>
              <w:rFonts w:ascii="Times New Roman" w:hAnsi="Times New Roman" w:cs="Times New Roman"/>
              <w:sz w:val="22"/>
              <w:szCs w:val="22"/>
            </w:rPr>
          </w:pPr>
          <w:r w:rsidRPr="00357908">
            <w:rPr>
              <w:rFonts w:ascii="Times New Roman" w:hAnsi="Times New Roman" w:cs="Times New Roman"/>
              <w:sz w:val="22"/>
              <w:szCs w:val="22"/>
            </w:rPr>
            <w:t>Spis treści</w:t>
          </w:r>
          <w:r w:rsidR="004161EC" w:rsidRPr="00357908">
            <w:rPr>
              <w:rFonts w:ascii="Times New Roman" w:hAnsi="Times New Roman" w:cs="Times New Roman"/>
              <w:sz w:val="22"/>
              <w:szCs w:val="22"/>
            </w:rPr>
            <w:tab/>
          </w:r>
        </w:p>
        <w:p w14:paraId="3E6B4064" w14:textId="12B79131" w:rsidR="00094B4E" w:rsidRPr="00357908" w:rsidRDefault="00CF5998" w:rsidP="000B394A">
          <w:pPr>
            <w:pStyle w:val="Spistreci1"/>
            <w:rPr>
              <w:rFonts w:ascii="Times New Roman" w:eastAsiaTheme="minorEastAsia" w:hAnsi="Times New Roman" w:cs="Times New Roman"/>
              <w:noProof/>
              <w:kern w:val="0"/>
              <w:sz w:val="22"/>
              <w:szCs w:val="22"/>
              <w:lang w:eastAsia="pl-PL"/>
              <w14:ligatures w14:val="none"/>
            </w:rPr>
          </w:pPr>
          <w:r w:rsidRPr="00357908">
            <w:rPr>
              <w:rFonts w:ascii="Times New Roman" w:hAnsi="Times New Roman" w:cs="Times New Roman"/>
              <w:sz w:val="22"/>
              <w:szCs w:val="22"/>
            </w:rPr>
            <w:fldChar w:fldCharType="begin"/>
          </w:r>
          <w:r w:rsidRPr="00357908">
            <w:rPr>
              <w:rFonts w:ascii="Times New Roman" w:hAnsi="Times New Roman" w:cs="Times New Roman"/>
              <w:sz w:val="22"/>
              <w:szCs w:val="22"/>
            </w:rPr>
            <w:instrText>TOC \o "1-3" \h \z \u</w:instrText>
          </w:r>
          <w:r w:rsidRPr="00357908">
            <w:rPr>
              <w:rFonts w:ascii="Times New Roman" w:hAnsi="Times New Roman" w:cs="Times New Roman"/>
              <w:sz w:val="22"/>
              <w:szCs w:val="22"/>
            </w:rPr>
            <w:fldChar w:fldCharType="separate"/>
          </w:r>
          <w:hyperlink w:anchor="_Toc184565442" w:history="1">
            <w:r w:rsidR="00094B4E" w:rsidRPr="00357908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  <w:lang w:eastAsia="zh-CN" w:bidi="hi-IN"/>
              </w:rPr>
              <w:t>1</w:t>
            </w:r>
            <w:r w:rsidR="00094B4E" w:rsidRPr="00357908">
              <w:rPr>
                <w:rFonts w:ascii="Times New Roman" w:eastAsiaTheme="minorEastAsia" w:hAnsi="Times New Roman" w:cs="Times New Roman"/>
                <w:noProof/>
                <w:kern w:val="0"/>
                <w:sz w:val="22"/>
                <w:szCs w:val="22"/>
                <w:lang w:eastAsia="pl-PL"/>
                <w14:ligatures w14:val="none"/>
              </w:rPr>
              <w:tab/>
            </w:r>
            <w:r w:rsidR="00094B4E" w:rsidRPr="00357908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  <w:lang w:eastAsia="zh-CN" w:bidi="hi-IN"/>
              </w:rPr>
              <w:t>Rozbudowa serwera aplikacyjnego</w:t>
            </w:r>
            <w:r w:rsidR="00094B4E"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="00094B4E"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="00094B4E"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_Toc184565442 \h </w:instrText>
            </w:r>
            <w:r w:rsidR="00094B4E"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="00094B4E"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 w:rsid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3</w:t>
            </w:r>
            <w:r w:rsidR="00094B4E"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392138C" w14:textId="32CB7F45" w:rsidR="00094B4E" w:rsidRPr="00357908" w:rsidRDefault="00094B4E" w:rsidP="000B394A">
          <w:pPr>
            <w:pStyle w:val="Spistreci1"/>
            <w:rPr>
              <w:rFonts w:ascii="Times New Roman" w:eastAsiaTheme="minorEastAsia" w:hAnsi="Times New Roman" w:cs="Times New Roman"/>
              <w:noProof/>
              <w:kern w:val="0"/>
              <w:sz w:val="22"/>
              <w:szCs w:val="22"/>
              <w:lang w:eastAsia="pl-PL"/>
              <w14:ligatures w14:val="none"/>
            </w:rPr>
          </w:pPr>
          <w:hyperlink w:anchor="_Toc184565443" w:history="1">
            <w:r w:rsidRPr="00357908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2</w:t>
            </w:r>
            <w:r w:rsidRPr="00357908">
              <w:rPr>
                <w:rFonts w:ascii="Times New Roman" w:eastAsiaTheme="minorEastAsia" w:hAnsi="Times New Roman" w:cs="Times New Roman"/>
                <w:noProof/>
                <w:kern w:val="0"/>
                <w:sz w:val="22"/>
                <w:szCs w:val="22"/>
                <w:lang w:eastAsia="pl-PL"/>
                <w14:ligatures w14:val="none"/>
              </w:rPr>
              <w:tab/>
            </w:r>
            <w:r w:rsidRPr="00357908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Centralny UPS 10kVA</w:t>
            </w:r>
            <w:r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_Toc184565443 \h </w:instrText>
            </w:r>
            <w:r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 w:rsid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7</w:t>
            </w:r>
            <w:r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604A5D3" w14:textId="4370DB03" w:rsidR="00094B4E" w:rsidRPr="00357908" w:rsidRDefault="00094B4E" w:rsidP="000B394A">
          <w:pPr>
            <w:pStyle w:val="Spistreci1"/>
            <w:rPr>
              <w:rFonts w:ascii="Times New Roman" w:eastAsiaTheme="minorEastAsia" w:hAnsi="Times New Roman" w:cs="Times New Roman"/>
              <w:noProof/>
              <w:kern w:val="0"/>
              <w:sz w:val="22"/>
              <w:szCs w:val="22"/>
              <w:lang w:eastAsia="pl-PL"/>
              <w14:ligatures w14:val="none"/>
            </w:rPr>
          </w:pPr>
          <w:hyperlink w:anchor="_Toc184565444" w:history="1">
            <w:r w:rsidRPr="00357908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3</w:t>
            </w:r>
            <w:r w:rsidRPr="00357908">
              <w:rPr>
                <w:rFonts w:ascii="Times New Roman" w:eastAsiaTheme="minorEastAsia" w:hAnsi="Times New Roman" w:cs="Times New Roman"/>
                <w:noProof/>
                <w:kern w:val="0"/>
                <w:sz w:val="22"/>
                <w:szCs w:val="22"/>
                <w:lang w:eastAsia="pl-PL"/>
                <w14:ligatures w14:val="none"/>
              </w:rPr>
              <w:tab/>
            </w:r>
            <w:r w:rsidRPr="00357908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Urządzenie UTM</w:t>
            </w:r>
            <w:r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_Toc184565444 \h </w:instrText>
            </w:r>
            <w:r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 w:rsid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9</w:t>
            </w:r>
            <w:r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B5A3976" w14:textId="14C2D22D" w:rsidR="00094B4E" w:rsidRPr="00357908" w:rsidRDefault="00094B4E" w:rsidP="000B394A">
          <w:pPr>
            <w:pStyle w:val="Spistreci1"/>
            <w:rPr>
              <w:rFonts w:ascii="Times New Roman" w:eastAsiaTheme="minorEastAsia" w:hAnsi="Times New Roman" w:cs="Times New Roman"/>
              <w:noProof/>
              <w:kern w:val="0"/>
              <w:sz w:val="22"/>
              <w:szCs w:val="22"/>
              <w:lang w:eastAsia="pl-PL"/>
              <w14:ligatures w14:val="none"/>
            </w:rPr>
          </w:pPr>
          <w:hyperlink w:anchor="_Toc184565445" w:history="1">
            <w:r w:rsidRPr="00357908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4</w:t>
            </w:r>
            <w:r w:rsidRPr="00357908">
              <w:rPr>
                <w:rFonts w:ascii="Times New Roman" w:eastAsiaTheme="minorEastAsia" w:hAnsi="Times New Roman" w:cs="Times New Roman"/>
                <w:noProof/>
                <w:kern w:val="0"/>
                <w:sz w:val="22"/>
                <w:szCs w:val="22"/>
                <w:lang w:eastAsia="pl-PL"/>
                <w14:ligatures w14:val="none"/>
              </w:rPr>
              <w:tab/>
            </w:r>
            <w:r w:rsidRPr="00357908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Serwer NAS klasy korporacyjnej</w:t>
            </w:r>
            <w:r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_Toc184565445 \h </w:instrText>
            </w:r>
            <w:r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 w:rsid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14</w:t>
            </w:r>
            <w:r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F5B4B58" w14:textId="257BEE62" w:rsidR="00094B4E" w:rsidRPr="00357908" w:rsidRDefault="00094B4E" w:rsidP="000B394A">
          <w:pPr>
            <w:pStyle w:val="Spistreci1"/>
            <w:rPr>
              <w:rFonts w:ascii="Times New Roman" w:eastAsiaTheme="minorEastAsia" w:hAnsi="Times New Roman" w:cs="Times New Roman"/>
              <w:noProof/>
              <w:kern w:val="0"/>
              <w:sz w:val="22"/>
              <w:szCs w:val="22"/>
              <w:lang w:eastAsia="pl-PL"/>
              <w14:ligatures w14:val="none"/>
            </w:rPr>
          </w:pPr>
          <w:hyperlink w:anchor="_Toc184565446" w:history="1">
            <w:r w:rsidRPr="00357908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5</w:t>
            </w:r>
            <w:r w:rsidRPr="00357908">
              <w:rPr>
                <w:rFonts w:ascii="Times New Roman" w:eastAsiaTheme="minorEastAsia" w:hAnsi="Times New Roman" w:cs="Times New Roman"/>
                <w:noProof/>
                <w:kern w:val="0"/>
                <w:sz w:val="22"/>
                <w:szCs w:val="22"/>
                <w:lang w:eastAsia="pl-PL"/>
                <w14:ligatures w14:val="none"/>
              </w:rPr>
              <w:tab/>
            </w:r>
            <w:r w:rsidRPr="00357908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Dostarczenie i wdrożenie narzędzi klasy EDR</w:t>
            </w:r>
            <w:r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_Toc184565446 \h </w:instrText>
            </w:r>
            <w:r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 w:rsid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15</w:t>
            </w:r>
            <w:r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C6642F6" w14:textId="08FCC94A" w:rsidR="00094B4E" w:rsidRPr="00357908" w:rsidRDefault="00094B4E" w:rsidP="000B394A">
          <w:pPr>
            <w:pStyle w:val="Spistreci1"/>
            <w:rPr>
              <w:rFonts w:ascii="Times New Roman" w:eastAsiaTheme="minorEastAsia" w:hAnsi="Times New Roman" w:cs="Times New Roman"/>
              <w:noProof/>
              <w:kern w:val="0"/>
              <w:sz w:val="22"/>
              <w:szCs w:val="22"/>
              <w:lang w:eastAsia="pl-PL"/>
              <w14:ligatures w14:val="none"/>
            </w:rPr>
          </w:pPr>
          <w:hyperlink w:anchor="_Toc184565447" w:history="1">
            <w:r w:rsidRPr="00357908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6</w:t>
            </w:r>
            <w:r w:rsidRPr="00357908">
              <w:rPr>
                <w:rFonts w:ascii="Times New Roman" w:eastAsiaTheme="minorEastAsia" w:hAnsi="Times New Roman" w:cs="Times New Roman"/>
                <w:noProof/>
                <w:kern w:val="0"/>
                <w:sz w:val="22"/>
                <w:szCs w:val="22"/>
                <w:lang w:eastAsia="pl-PL"/>
                <w14:ligatures w14:val="none"/>
              </w:rPr>
              <w:tab/>
            </w:r>
            <w:r w:rsidRPr="00357908">
              <w:rPr>
                <w:rStyle w:val="Hipercze"/>
                <w:rFonts w:ascii="Times New Roman" w:hAnsi="Times New Roman" w:cs="Times New Roman"/>
                <w:noProof/>
                <w:sz w:val="22"/>
                <w:szCs w:val="22"/>
              </w:rPr>
              <w:t>Switch 10Gb</w:t>
            </w:r>
            <w:r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ab/>
            </w:r>
            <w:r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begin"/>
            </w:r>
            <w:r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instrText xml:space="preserve"> PAGEREF _Toc184565447 \h </w:instrText>
            </w:r>
            <w:r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</w:r>
            <w:r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separate"/>
            </w:r>
            <w:r w:rsid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t>16</w:t>
            </w:r>
            <w:r w:rsidRPr="00357908">
              <w:rPr>
                <w:rFonts w:ascii="Times New Roman" w:hAnsi="Times New Roman" w:cs="Times New Roman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0DC743D" w14:textId="5AEC8305" w:rsidR="00CF5998" w:rsidRPr="00357908" w:rsidRDefault="00CF5998" w:rsidP="000B394A">
          <w:pPr>
            <w:rPr>
              <w:rFonts w:ascii="Times New Roman" w:hAnsi="Times New Roman" w:cs="Times New Roman"/>
              <w:noProof/>
              <w:sz w:val="22"/>
              <w:szCs w:val="22"/>
            </w:rPr>
          </w:pPr>
          <w:r w:rsidRPr="00357908">
            <w:rPr>
              <w:rFonts w:ascii="Times New Roman" w:hAnsi="Times New Roman" w:cs="Times New Roman"/>
              <w:b/>
              <w:bCs/>
              <w:noProof/>
              <w:sz w:val="22"/>
              <w:szCs w:val="22"/>
            </w:rPr>
            <w:fldChar w:fldCharType="end"/>
          </w:r>
        </w:p>
      </w:sdtContent>
    </w:sdt>
    <w:p w14:paraId="5B221A99" w14:textId="73B66255" w:rsidR="001829AC" w:rsidRPr="00357908" w:rsidRDefault="001829AC" w:rsidP="000B394A">
      <w:pPr>
        <w:rPr>
          <w:rFonts w:ascii="Times New Roman" w:hAnsi="Times New Roman" w:cs="Times New Roman"/>
          <w:sz w:val="22"/>
          <w:szCs w:val="22"/>
        </w:rPr>
      </w:pPr>
      <w:r w:rsidRPr="00357908">
        <w:rPr>
          <w:rFonts w:ascii="Times New Roman" w:hAnsi="Times New Roman" w:cs="Times New Roman"/>
          <w:sz w:val="22"/>
          <w:szCs w:val="22"/>
        </w:rPr>
        <w:br w:type="page"/>
      </w:r>
    </w:p>
    <w:p w14:paraId="7FC175A5" w14:textId="77777777" w:rsidR="00715EDE" w:rsidRPr="00357908" w:rsidRDefault="00715EDE" w:rsidP="000B394A">
      <w:pPr>
        <w:rPr>
          <w:rFonts w:ascii="Times New Roman" w:hAnsi="Times New Roman" w:cs="Times New Roman"/>
          <w:sz w:val="22"/>
          <w:szCs w:val="22"/>
        </w:rPr>
      </w:pPr>
    </w:p>
    <w:p w14:paraId="0968A656" w14:textId="4C41B1CB" w:rsidR="007C5FE7" w:rsidRPr="00357908" w:rsidRDefault="001961E5" w:rsidP="000B394A">
      <w:pPr>
        <w:pStyle w:val="Nagwek1"/>
        <w:rPr>
          <w:rFonts w:ascii="Times New Roman" w:hAnsi="Times New Roman" w:cs="Times New Roman"/>
          <w:b/>
          <w:sz w:val="22"/>
          <w:szCs w:val="22"/>
          <w:lang w:eastAsia="zh-CN" w:bidi="hi-IN"/>
        </w:rPr>
      </w:pPr>
      <w:bookmarkStart w:id="0" w:name="_Toc184565442"/>
      <w:r w:rsidRPr="00357908">
        <w:rPr>
          <w:rFonts w:ascii="Times New Roman" w:hAnsi="Times New Roman" w:cs="Times New Roman"/>
          <w:b/>
          <w:sz w:val="22"/>
          <w:szCs w:val="22"/>
          <w:lang w:eastAsia="zh-CN" w:bidi="hi-IN"/>
        </w:rPr>
        <w:t>Rozbudowa serwera aplikacyjnego</w:t>
      </w:r>
      <w:bookmarkEnd w:id="0"/>
    </w:p>
    <w:p w14:paraId="4DBED889" w14:textId="4778060D" w:rsidR="00EA0898" w:rsidRPr="00357908" w:rsidRDefault="00EA0898" w:rsidP="000B394A">
      <w:pPr>
        <w:rPr>
          <w:rFonts w:ascii="Times New Roman" w:hAnsi="Times New Roman" w:cs="Times New Roman"/>
          <w:sz w:val="22"/>
          <w:szCs w:val="22"/>
          <w:lang w:eastAsia="zh-CN" w:bidi="hi-IN"/>
        </w:rPr>
      </w:pPr>
    </w:p>
    <w:p w14:paraId="1C2AD977" w14:textId="7185C7AE" w:rsidR="001961E5" w:rsidRPr="00357908" w:rsidRDefault="001961E5" w:rsidP="000B394A">
      <w:pPr>
        <w:ind w:firstLine="432"/>
        <w:jc w:val="both"/>
        <w:rPr>
          <w:rFonts w:ascii="Times New Roman" w:hAnsi="Times New Roman" w:cs="Times New Roman"/>
          <w:sz w:val="22"/>
          <w:szCs w:val="22"/>
          <w:lang w:eastAsia="zh-CN" w:bidi="hi-IN"/>
        </w:rPr>
      </w:pPr>
      <w:r w:rsidRPr="00357908">
        <w:rPr>
          <w:rFonts w:ascii="Times New Roman" w:hAnsi="Times New Roman" w:cs="Times New Roman"/>
          <w:sz w:val="22"/>
          <w:szCs w:val="22"/>
          <w:lang w:eastAsia="zh-CN" w:bidi="hi-IN"/>
        </w:rPr>
        <w:t>W ramach d</w:t>
      </w:r>
      <w:r w:rsidR="006E3842" w:rsidRPr="00357908">
        <w:rPr>
          <w:rFonts w:ascii="Times New Roman" w:hAnsi="Times New Roman" w:cs="Times New Roman"/>
          <w:sz w:val="22"/>
          <w:szCs w:val="22"/>
          <w:lang w:eastAsia="zh-CN" w:bidi="hi-IN"/>
        </w:rPr>
        <w:t>ostawy Wykonawca musi rozbudować obecny serwer</w:t>
      </w:r>
      <w:r w:rsidR="001D27FD" w:rsidRPr="00357908">
        <w:rPr>
          <w:rFonts w:ascii="Times New Roman" w:hAnsi="Times New Roman" w:cs="Times New Roman"/>
          <w:sz w:val="22"/>
          <w:szCs w:val="22"/>
          <w:lang w:eastAsia="zh-CN" w:bidi="hi-IN"/>
        </w:rPr>
        <w:t xml:space="preserve"> DELL </w:t>
      </w:r>
      <w:proofErr w:type="spellStart"/>
      <w:r w:rsidR="001D27FD" w:rsidRPr="00357908">
        <w:rPr>
          <w:rFonts w:ascii="Times New Roman" w:hAnsi="Times New Roman" w:cs="Times New Roman"/>
          <w:sz w:val="22"/>
          <w:szCs w:val="22"/>
          <w:lang w:eastAsia="zh-CN" w:bidi="hi-IN"/>
        </w:rPr>
        <w:t>PowerEdge</w:t>
      </w:r>
      <w:proofErr w:type="spellEnd"/>
      <w:r w:rsidR="001D27FD" w:rsidRPr="00357908">
        <w:rPr>
          <w:rFonts w:ascii="Times New Roman" w:hAnsi="Times New Roman" w:cs="Times New Roman"/>
          <w:sz w:val="22"/>
          <w:szCs w:val="22"/>
          <w:lang w:eastAsia="zh-CN" w:bidi="hi-IN"/>
        </w:rPr>
        <w:t xml:space="preserve"> R640 o numerze </w:t>
      </w:r>
      <w:proofErr w:type="spellStart"/>
      <w:r w:rsidR="001D27FD" w:rsidRPr="00357908">
        <w:rPr>
          <w:rFonts w:ascii="Times New Roman" w:hAnsi="Times New Roman" w:cs="Times New Roman"/>
          <w:sz w:val="22"/>
          <w:szCs w:val="22"/>
          <w:lang w:eastAsia="zh-CN" w:bidi="hi-IN"/>
        </w:rPr>
        <w:t>ServiceTag</w:t>
      </w:r>
      <w:proofErr w:type="spellEnd"/>
      <w:r w:rsidR="001D27FD" w:rsidRPr="00357908">
        <w:rPr>
          <w:rFonts w:ascii="Times New Roman" w:hAnsi="Times New Roman" w:cs="Times New Roman"/>
          <w:sz w:val="22"/>
          <w:szCs w:val="22"/>
          <w:lang w:eastAsia="zh-CN" w:bidi="hi-IN"/>
        </w:rPr>
        <w:t xml:space="preserve"> </w:t>
      </w:r>
      <w:r w:rsidR="006E3842" w:rsidRPr="00357908">
        <w:rPr>
          <w:rFonts w:ascii="Times New Roman" w:hAnsi="Times New Roman" w:cs="Times New Roman"/>
          <w:sz w:val="22"/>
          <w:szCs w:val="22"/>
          <w:lang w:eastAsia="zh-CN" w:bidi="hi-IN"/>
        </w:rPr>
        <w:t xml:space="preserve"> </w:t>
      </w:r>
      <w:r w:rsidR="001D27FD" w:rsidRPr="00357908">
        <w:rPr>
          <w:rFonts w:ascii="Times New Roman" w:hAnsi="Times New Roman" w:cs="Times New Roman"/>
          <w:sz w:val="22"/>
          <w:szCs w:val="22"/>
          <w:lang w:eastAsia="zh-CN" w:bidi="hi-IN"/>
        </w:rPr>
        <w:t xml:space="preserve">8D2JS63 </w:t>
      </w:r>
      <w:r w:rsidR="006E3842" w:rsidRPr="00357908">
        <w:rPr>
          <w:rFonts w:ascii="Times New Roman" w:hAnsi="Times New Roman" w:cs="Times New Roman"/>
          <w:sz w:val="22"/>
          <w:szCs w:val="22"/>
          <w:lang w:eastAsia="zh-CN" w:bidi="hi-IN"/>
        </w:rPr>
        <w:t xml:space="preserve">o kartę 2 portową 10Gb SFP+ wraz z wkładkami, dodatkowe 128GB RAM oraz </w:t>
      </w:r>
      <w:r w:rsidR="001D27FD" w:rsidRPr="00357908">
        <w:rPr>
          <w:rFonts w:ascii="Times New Roman" w:hAnsi="Times New Roman" w:cs="Times New Roman"/>
          <w:sz w:val="22"/>
          <w:szCs w:val="22"/>
          <w:lang w:eastAsia="zh-CN" w:bidi="hi-IN"/>
        </w:rPr>
        <w:t xml:space="preserve">dostarczyć </w:t>
      </w:r>
      <w:r w:rsidRPr="00357908">
        <w:rPr>
          <w:rFonts w:ascii="Times New Roman" w:hAnsi="Times New Roman" w:cs="Times New Roman"/>
          <w:sz w:val="22"/>
          <w:szCs w:val="22"/>
          <w:lang w:eastAsia="zh-CN" w:bidi="hi-IN"/>
        </w:rPr>
        <w:t xml:space="preserve"> serwer spełniający poniższe wymagania</w:t>
      </w:r>
      <w:r w:rsidR="006E3842" w:rsidRPr="00357908">
        <w:rPr>
          <w:rFonts w:ascii="Times New Roman" w:hAnsi="Times New Roman" w:cs="Times New Roman"/>
          <w:sz w:val="22"/>
          <w:szCs w:val="22"/>
          <w:lang w:eastAsia="zh-CN" w:bidi="hi-IN"/>
        </w:rPr>
        <w:t xml:space="preserve"> jako drugi węzeł Klastra</w:t>
      </w:r>
      <w:r w:rsidRPr="00357908">
        <w:rPr>
          <w:rFonts w:ascii="Times New Roman" w:hAnsi="Times New Roman" w:cs="Times New Roman"/>
          <w:sz w:val="22"/>
          <w:szCs w:val="22"/>
          <w:lang w:eastAsia="zh-CN" w:bidi="hi-IN"/>
        </w:rPr>
        <w:t>.</w:t>
      </w:r>
    </w:p>
    <w:p w14:paraId="32E55B16" w14:textId="77777777" w:rsidR="001961E5" w:rsidRPr="00357908" w:rsidRDefault="001961E5" w:rsidP="000B394A">
      <w:pPr>
        <w:jc w:val="both"/>
        <w:rPr>
          <w:rFonts w:ascii="Times New Roman" w:hAnsi="Times New Roman" w:cs="Times New Roman"/>
          <w:sz w:val="22"/>
          <w:szCs w:val="22"/>
          <w:lang w:eastAsia="zh-CN" w:bidi="hi-IN"/>
        </w:rPr>
      </w:pPr>
      <w:r w:rsidRPr="00357908">
        <w:rPr>
          <w:rFonts w:ascii="Times New Roman" w:hAnsi="Times New Roman" w:cs="Times New Roman"/>
          <w:sz w:val="22"/>
          <w:szCs w:val="22"/>
          <w:lang w:eastAsia="zh-CN" w:bidi="hi-IN"/>
        </w:rPr>
        <w:t>Dostarczone rozwiązane należy odpowiednio skonfigurować i dokonać jego integracji z posiadanym przez Zamawiającego środowiskiem sieciowo-serwerowym.</w:t>
      </w:r>
    </w:p>
    <w:p w14:paraId="23E41EF4" w14:textId="5438420E" w:rsidR="001961E5" w:rsidRPr="00357908" w:rsidRDefault="001961E5" w:rsidP="000B394A">
      <w:pPr>
        <w:jc w:val="both"/>
        <w:rPr>
          <w:rFonts w:ascii="Times New Roman" w:hAnsi="Times New Roman" w:cs="Times New Roman"/>
          <w:sz w:val="22"/>
          <w:szCs w:val="22"/>
          <w:lang w:eastAsia="zh-CN" w:bidi="hi-IN"/>
        </w:rPr>
      </w:pPr>
      <w:r w:rsidRPr="00357908">
        <w:rPr>
          <w:rFonts w:ascii="Times New Roman" w:hAnsi="Times New Roman" w:cs="Times New Roman"/>
          <w:sz w:val="22"/>
          <w:szCs w:val="22"/>
          <w:lang w:eastAsia="zh-CN" w:bidi="hi-IN"/>
        </w:rPr>
        <w:t>Dostarczone rozwiązanie musi zostać zainstalowane w infrastrukturze Zamawiającego zgodnie z najlepszymi praktykami i wszystkimi niezbędnymi do wykonania konfiguracjami które to wynikną w czasie jego implementacji na infrastrukturze Zamawiającego.</w:t>
      </w:r>
    </w:p>
    <w:p w14:paraId="1110B383" w14:textId="552394C1" w:rsidR="006110E9" w:rsidRPr="00357908" w:rsidRDefault="006110E9" w:rsidP="000B394A">
      <w:pPr>
        <w:rPr>
          <w:rFonts w:ascii="Times New Roman" w:hAnsi="Times New Roman" w:cs="Times New Roman"/>
          <w:sz w:val="22"/>
          <w:szCs w:val="22"/>
          <w:lang w:eastAsia="zh-CN" w:bidi="hi-IN"/>
        </w:rPr>
      </w:pPr>
      <w:r w:rsidRPr="00357908">
        <w:rPr>
          <w:rFonts w:ascii="Times New Roman" w:hAnsi="Times New Roman" w:cs="Times New Roman"/>
          <w:sz w:val="22"/>
          <w:szCs w:val="22"/>
          <w:lang w:eastAsia="zh-CN" w:bidi="hi-IN"/>
        </w:rPr>
        <w:t xml:space="preserve">Standard komunikacji to minimum 10Gb wobec czego Wykonawca jest zobowiązany do dostarczenia wszelkich niezbędnych wkładek i </w:t>
      </w:r>
      <w:proofErr w:type="spellStart"/>
      <w:r w:rsidRPr="00357908">
        <w:rPr>
          <w:rFonts w:ascii="Times New Roman" w:hAnsi="Times New Roman" w:cs="Times New Roman"/>
          <w:sz w:val="22"/>
          <w:szCs w:val="22"/>
          <w:lang w:eastAsia="zh-CN" w:bidi="hi-IN"/>
        </w:rPr>
        <w:t>patchcordów</w:t>
      </w:r>
      <w:proofErr w:type="spellEnd"/>
      <w:r w:rsidRPr="00357908">
        <w:rPr>
          <w:rFonts w:ascii="Times New Roman" w:hAnsi="Times New Roman" w:cs="Times New Roman"/>
          <w:sz w:val="22"/>
          <w:szCs w:val="22"/>
          <w:lang w:eastAsia="zh-CN" w:bidi="hi-IN"/>
        </w:rPr>
        <w:t xml:space="preserve"> w celu połą</w:t>
      </w:r>
      <w:r w:rsidR="00171887" w:rsidRPr="00357908">
        <w:rPr>
          <w:rFonts w:ascii="Times New Roman" w:hAnsi="Times New Roman" w:cs="Times New Roman"/>
          <w:sz w:val="22"/>
          <w:szCs w:val="22"/>
          <w:lang w:eastAsia="zh-CN" w:bidi="hi-IN"/>
        </w:rPr>
        <w:t>czenia do sieciowych urządzeń aktywnych.</w:t>
      </w:r>
    </w:p>
    <w:p w14:paraId="4A9D810A" w14:textId="77777777" w:rsidR="001961E5" w:rsidRPr="00357908" w:rsidRDefault="001961E5" w:rsidP="000B394A">
      <w:pPr>
        <w:rPr>
          <w:rFonts w:ascii="Times New Roman" w:hAnsi="Times New Roman" w:cs="Times New Roman"/>
          <w:sz w:val="22"/>
          <w:szCs w:val="22"/>
          <w:lang w:bidi="hi-IN"/>
        </w:rPr>
      </w:pPr>
    </w:p>
    <w:tbl>
      <w:tblPr>
        <w:tblStyle w:val="Tabelasiatki1jasnaakcent1"/>
        <w:tblW w:w="10343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1843"/>
        <w:gridCol w:w="8500"/>
      </w:tblGrid>
      <w:tr w:rsidR="001961E5" w:rsidRPr="00357908" w14:paraId="1946C5BB" w14:textId="77777777" w:rsidTr="009631BD">
        <w:trPr>
          <w:trHeight w:val="403"/>
        </w:trPr>
        <w:tc>
          <w:tcPr>
            <w:tcW w:w="1843" w:type="dxa"/>
          </w:tcPr>
          <w:p w14:paraId="176C308E" w14:textId="77777777" w:rsidR="001961E5" w:rsidRPr="00357908" w:rsidRDefault="001961E5" w:rsidP="000B394A">
            <w:pPr>
              <w:rPr>
                <w:rFonts w:ascii="Times New Roman" w:eastAsia="Tahoma" w:hAnsi="Times New Roman" w:cs="Times New Roman"/>
                <w:b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b/>
                <w:sz w:val="22"/>
                <w:szCs w:val="22"/>
              </w:rPr>
              <w:t>Nazwa</w:t>
            </w:r>
          </w:p>
        </w:tc>
        <w:tc>
          <w:tcPr>
            <w:tcW w:w="8500" w:type="dxa"/>
          </w:tcPr>
          <w:p w14:paraId="2C8F8750" w14:textId="77777777" w:rsidR="001961E5" w:rsidRPr="00357908" w:rsidRDefault="001961E5" w:rsidP="000B394A">
            <w:pPr>
              <w:jc w:val="center"/>
              <w:rPr>
                <w:rFonts w:ascii="Times New Roman" w:eastAsia="Tahoma" w:hAnsi="Times New Roman" w:cs="Times New Roman"/>
                <w:b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b/>
                <w:sz w:val="22"/>
                <w:szCs w:val="22"/>
              </w:rPr>
              <w:t>Minimalne wymagania dla sprzętu</w:t>
            </w:r>
          </w:p>
        </w:tc>
      </w:tr>
      <w:tr w:rsidR="001961E5" w:rsidRPr="00357908" w14:paraId="625B50DF" w14:textId="77777777" w:rsidTr="009631BD">
        <w:trPr>
          <w:trHeight w:val="70"/>
        </w:trPr>
        <w:tc>
          <w:tcPr>
            <w:tcW w:w="1843" w:type="dxa"/>
          </w:tcPr>
          <w:p w14:paraId="4B1C5D37" w14:textId="77777777" w:rsidR="001961E5" w:rsidRPr="00357908" w:rsidRDefault="001961E5" w:rsidP="000B394A">
            <w:pPr>
              <w:rPr>
                <w:rFonts w:ascii="Times New Roman" w:eastAsia="Tahoma" w:hAnsi="Times New Roman" w:cs="Times New Roman"/>
                <w:b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b/>
                <w:sz w:val="22"/>
                <w:szCs w:val="22"/>
              </w:rPr>
              <w:t>Obudowa</w:t>
            </w:r>
          </w:p>
        </w:tc>
        <w:tc>
          <w:tcPr>
            <w:tcW w:w="8500" w:type="dxa"/>
          </w:tcPr>
          <w:p w14:paraId="1A30EF5C" w14:textId="5886E296" w:rsidR="001961E5" w:rsidRPr="00357908" w:rsidRDefault="001961E5" w:rsidP="000B394A">
            <w:pPr>
              <w:rPr>
                <w:rFonts w:ascii="Times New Roman" w:eastAsia="Tahoma" w:hAnsi="Times New Roman" w:cs="Times New Roman"/>
                <w:strike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Obudowa Rack 19” o wysokości max 2U z możliwością instalacji min. 8 dysków 2.5” wraz z kompletem wysuwanych szyn umożliwiających montaż w szafie rack i wysuwanie serwera do celów serwisowych oraz organizatorem do kabli.</w:t>
            </w:r>
          </w:p>
        </w:tc>
      </w:tr>
      <w:tr w:rsidR="001961E5" w:rsidRPr="00357908" w14:paraId="65D38DBA" w14:textId="77777777" w:rsidTr="009631BD">
        <w:trPr>
          <w:trHeight w:val="70"/>
        </w:trPr>
        <w:tc>
          <w:tcPr>
            <w:tcW w:w="1843" w:type="dxa"/>
          </w:tcPr>
          <w:p w14:paraId="643A5A8B" w14:textId="77777777" w:rsidR="001961E5" w:rsidRPr="00357908" w:rsidRDefault="001961E5" w:rsidP="000B394A">
            <w:pPr>
              <w:rPr>
                <w:rFonts w:ascii="Times New Roman" w:eastAsia="Tahoma" w:hAnsi="Times New Roman" w:cs="Times New Roman"/>
                <w:b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b/>
                <w:sz w:val="22"/>
                <w:szCs w:val="22"/>
              </w:rPr>
              <w:t>Płyta główna</w:t>
            </w:r>
          </w:p>
        </w:tc>
        <w:tc>
          <w:tcPr>
            <w:tcW w:w="8500" w:type="dxa"/>
          </w:tcPr>
          <w:p w14:paraId="2DB0770A" w14:textId="6E40425D" w:rsidR="001961E5" w:rsidRPr="00357908" w:rsidRDefault="001961E5" w:rsidP="000B394A">
            <w:pPr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Płyta główna z możliwością zainstalowania do dwóch procesorów.</w:t>
            </w:r>
          </w:p>
        </w:tc>
      </w:tr>
      <w:tr w:rsidR="001961E5" w:rsidRPr="00357908" w14:paraId="6908BF5C" w14:textId="77777777" w:rsidTr="009631BD">
        <w:trPr>
          <w:trHeight w:val="70"/>
        </w:trPr>
        <w:tc>
          <w:tcPr>
            <w:tcW w:w="1843" w:type="dxa"/>
          </w:tcPr>
          <w:p w14:paraId="7FF10344" w14:textId="77777777" w:rsidR="001961E5" w:rsidRPr="00357908" w:rsidRDefault="001961E5" w:rsidP="000B394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b/>
                <w:sz w:val="22"/>
                <w:szCs w:val="22"/>
              </w:rPr>
              <w:t>Procesor</w:t>
            </w:r>
          </w:p>
        </w:tc>
        <w:tc>
          <w:tcPr>
            <w:tcW w:w="8500" w:type="dxa"/>
          </w:tcPr>
          <w:p w14:paraId="5C173AB7" w14:textId="77777777" w:rsidR="001961E5" w:rsidRPr="00357908" w:rsidRDefault="001961E5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Zainstalowane dwa procesory min. 8-rdzeniowe, min. 2.8GHz z częstotliwości nominalnej, klasy x86, osiągające minimalne wyniki testów w konfiguracji dwuprocesorowej:</w:t>
            </w:r>
          </w:p>
          <w:p w14:paraId="023477CB" w14:textId="770981D3" w:rsidR="001961E5" w:rsidRPr="00357908" w:rsidRDefault="001961E5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SPECrate2017_int_base wynik min. 169pkt</w:t>
            </w:r>
          </w:p>
          <w:p w14:paraId="31E45D25" w14:textId="5BC98B43" w:rsidR="001961E5" w:rsidRPr="00357908" w:rsidRDefault="001961E5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SPECrate2017_int_peak wynik min. 174pkt</w:t>
            </w:r>
          </w:p>
          <w:p w14:paraId="20D62957" w14:textId="643BFB90" w:rsidR="001961E5" w:rsidRPr="00357908" w:rsidRDefault="001961E5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SPECrate2017_fp_base wynik min. 246pkt</w:t>
            </w:r>
          </w:p>
          <w:p w14:paraId="52FCB15E" w14:textId="5A74C681" w:rsidR="001961E5" w:rsidRPr="00357908" w:rsidRDefault="001961E5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SPECrate2017_fp_peak wynik min. 252pkt</w:t>
            </w:r>
          </w:p>
          <w:p w14:paraId="432D36EB" w14:textId="77777777" w:rsidR="001961E5" w:rsidRPr="00357908" w:rsidRDefault="001961E5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8A0B20F" w14:textId="3AFDB942" w:rsidR="001961E5" w:rsidRPr="00357908" w:rsidRDefault="001961E5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Maksymalny TDP dla procesora 125W</w:t>
            </w:r>
          </w:p>
          <w:p w14:paraId="1316B41F" w14:textId="6A4A3367" w:rsidR="001961E5" w:rsidRPr="00357908" w:rsidRDefault="001961E5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Wynik testu musi być opublikowany na stronie </w:t>
            </w:r>
            <w:hyperlink r:id="rId8" w:history="1">
              <w:r w:rsidRPr="00357908">
                <w:rPr>
                  <w:rStyle w:val="Hipercze"/>
                  <w:rFonts w:ascii="Times New Roman" w:hAnsi="Times New Roman" w:cs="Times New Roman"/>
                  <w:sz w:val="22"/>
                  <w:szCs w:val="22"/>
                </w:rPr>
                <w:t>https://www.spec.org/cpu2017/results/</w:t>
              </w:r>
            </w:hyperlink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631BD"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w dniu złożenia oferty </w:t>
            </w:r>
            <w:r w:rsidR="009631BD"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="009631BD" w:rsidRPr="00357908">
              <w:rPr>
                <w:rFonts w:ascii="Times New Roman" w:eastAsia="Tahoma" w:hAnsi="Times New Roman" w:cs="Times New Roman"/>
                <w:b/>
                <w:bCs/>
                <w:color w:val="000000"/>
                <w:sz w:val="22"/>
                <w:szCs w:val="22"/>
              </w:rPr>
              <w:t>dołączyć do oferty wydruk jako przedmiotowy środek dowodowy</w:t>
            </w:r>
            <w:r w:rsidR="009631BD"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1961E5" w:rsidRPr="00357908" w14:paraId="16028A64" w14:textId="77777777" w:rsidTr="009631BD">
        <w:trPr>
          <w:trHeight w:val="70"/>
        </w:trPr>
        <w:tc>
          <w:tcPr>
            <w:tcW w:w="1843" w:type="dxa"/>
          </w:tcPr>
          <w:p w14:paraId="0FA20BCF" w14:textId="77777777" w:rsidR="001961E5" w:rsidRPr="00357908" w:rsidRDefault="001961E5" w:rsidP="000B394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b/>
                <w:sz w:val="22"/>
                <w:szCs w:val="22"/>
              </w:rPr>
              <w:t>RAM</w:t>
            </w:r>
          </w:p>
        </w:tc>
        <w:tc>
          <w:tcPr>
            <w:tcW w:w="8500" w:type="dxa"/>
          </w:tcPr>
          <w:p w14:paraId="56ABC071" w14:textId="086826D7" w:rsidR="001961E5" w:rsidRPr="00357908" w:rsidRDefault="001961E5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128GB (w układzie 4x32GB)o 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częstotliwości taktowania minimum 5400MHz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, na płycie głównej powinno znajdować się minimum 16 slotów przeznaczone do instalacji pamięci. Płyta główna powinna obsługiwać min. 1TB pamięci RAM.</w:t>
            </w:r>
          </w:p>
        </w:tc>
      </w:tr>
      <w:tr w:rsidR="001961E5" w:rsidRPr="00357908" w14:paraId="050E4C30" w14:textId="77777777" w:rsidTr="009631BD">
        <w:trPr>
          <w:trHeight w:val="70"/>
        </w:trPr>
        <w:tc>
          <w:tcPr>
            <w:tcW w:w="1843" w:type="dxa"/>
          </w:tcPr>
          <w:p w14:paraId="7A83E1E9" w14:textId="77777777" w:rsidR="001961E5" w:rsidRPr="00357908" w:rsidRDefault="001961E5" w:rsidP="000B394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b/>
                <w:sz w:val="22"/>
                <w:szCs w:val="22"/>
              </w:rPr>
              <w:t>Funkcjonalność pamięci RAM</w:t>
            </w:r>
          </w:p>
        </w:tc>
        <w:tc>
          <w:tcPr>
            <w:tcW w:w="8500" w:type="dxa"/>
          </w:tcPr>
          <w:p w14:paraId="307EA1B4" w14:textId="4DA2F0AC" w:rsidR="001961E5" w:rsidRPr="00357908" w:rsidRDefault="001961E5" w:rsidP="000B394A">
            <w:pPr>
              <w:rPr>
                <w:rStyle w:val="pointnormal"/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Demand Scrubbing, Patrol Scrubbing, Permanent Fault Detection (PFD)</w:t>
            </w:r>
          </w:p>
        </w:tc>
      </w:tr>
      <w:tr w:rsidR="001961E5" w:rsidRPr="00357908" w14:paraId="50AAF9CD" w14:textId="77777777" w:rsidTr="009631BD">
        <w:trPr>
          <w:trHeight w:val="70"/>
        </w:trPr>
        <w:tc>
          <w:tcPr>
            <w:tcW w:w="1843" w:type="dxa"/>
          </w:tcPr>
          <w:p w14:paraId="108D8018" w14:textId="77777777" w:rsidR="001961E5" w:rsidRPr="00357908" w:rsidRDefault="001961E5" w:rsidP="000B394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b/>
                <w:sz w:val="22"/>
                <w:szCs w:val="22"/>
              </w:rPr>
              <w:t>Gniazda PCI</w:t>
            </w:r>
          </w:p>
        </w:tc>
        <w:tc>
          <w:tcPr>
            <w:tcW w:w="8500" w:type="dxa"/>
          </w:tcPr>
          <w:p w14:paraId="1F77C41B" w14:textId="06EB3034" w:rsidR="001961E5" w:rsidRPr="00357908" w:rsidRDefault="001961E5" w:rsidP="000B394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Minimum 5 slotów PCIe x16 generacji 4 </w:t>
            </w:r>
          </w:p>
        </w:tc>
      </w:tr>
      <w:tr w:rsidR="001961E5" w:rsidRPr="00357908" w14:paraId="07AF45AC" w14:textId="77777777" w:rsidTr="009631BD">
        <w:trPr>
          <w:trHeight w:val="70"/>
        </w:trPr>
        <w:tc>
          <w:tcPr>
            <w:tcW w:w="1843" w:type="dxa"/>
          </w:tcPr>
          <w:p w14:paraId="4A3E1DF1" w14:textId="77777777" w:rsidR="001961E5" w:rsidRPr="00357908" w:rsidRDefault="001961E5" w:rsidP="000B394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b/>
                <w:sz w:val="22"/>
                <w:szCs w:val="22"/>
              </w:rPr>
              <w:t>Interfejsy sieciowe/</w:t>
            </w:r>
          </w:p>
        </w:tc>
        <w:tc>
          <w:tcPr>
            <w:tcW w:w="8500" w:type="dxa"/>
          </w:tcPr>
          <w:p w14:paraId="4C0F72AD" w14:textId="7EC60708" w:rsidR="001961E5" w:rsidRPr="00357908" w:rsidRDefault="001961E5" w:rsidP="000B394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Wbudowane min. 2 interfejsy sieciowe 1Gb Ethernet w standardzie BaseT oraz 2 interfejsy sieciowe 10/25Gb SFP28 (porty nie mogą być osiągnięte poprzez karty w slotach PCIe)</w:t>
            </w:r>
          </w:p>
        </w:tc>
      </w:tr>
      <w:tr w:rsidR="001961E5" w:rsidRPr="00357908" w14:paraId="572A67D0" w14:textId="77777777" w:rsidTr="009631BD">
        <w:trPr>
          <w:trHeight w:val="70"/>
        </w:trPr>
        <w:tc>
          <w:tcPr>
            <w:tcW w:w="1843" w:type="dxa"/>
          </w:tcPr>
          <w:p w14:paraId="6A107D65" w14:textId="0E08B45F" w:rsidR="001961E5" w:rsidRPr="00357908" w:rsidRDefault="001961E5" w:rsidP="000B394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Kontroler SAS </w:t>
            </w:r>
          </w:p>
        </w:tc>
        <w:tc>
          <w:tcPr>
            <w:tcW w:w="8500" w:type="dxa"/>
          </w:tcPr>
          <w:p w14:paraId="30E4F104" w14:textId="621938CA" w:rsidR="001961E5" w:rsidRPr="00357908" w:rsidRDefault="001961E5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Sprzętowy kontroler dyskowy, posiadający minimum:</w:t>
            </w:r>
          </w:p>
          <w:p w14:paraId="59FEFD25" w14:textId="38355F16" w:rsidR="001961E5" w:rsidRPr="00357908" w:rsidRDefault="001961E5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8GB nieulotnej pamięci cache,</w:t>
            </w:r>
          </w:p>
          <w:p w14:paraId="2642545A" w14:textId="77777777" w:rsidR="001961E5" w:rsidRPr="00357908" w:rsidRDefault="001961E5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Możliwość konfiguracji poziomów RAID: 0, 1, 5, 6, 10, 50, 60.</w:t>
            </w:r>
          </w:p>
          <w:p w14:paraId="15A78873" w14:textId="59AAC75A" w:rsidR="001961E5" w:rsidRPr="00357908" w:rsidRDefault="001961E5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Wsparcie dla dysków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samoszyfrujących</w:t>
            </w:r>
            <w:proofErr w:type="spellEnd"/>
          </w:p>
        </w:tc>
      </w:tr>
      <w:tr w:rsidR="001961E5" w:rsidRPr="00357908" w14:paraId="2C7A9E50" w14:textId="77777777" w:rsidTr="009631BD">
        <w:trPr>
          <w:trHeight w:val="70"/>
        </w:trPr>
        <w:tc>
          <w:tcPr>
            <w:tcW w:w="1843" w:type="dxa"/>
          </w:tcPr>
          <w:p w14:paraId="10DD6DB5" w14:textId="77777777" w:rsidR="001961E5" w:rsidRPr="00357908" w:rsidRDefault="001961E5" w:rsidP="000B394A">
            <w:pPr>
              <w:rPr>
                <w:rFonts w:ascii="Times New Roman" w:eastAsia="Tahoma" w:hAnsi="Times New Roman" w:cs="Times New Roman"/>
                <w:b/>
                <w:color w:val="000000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b/>
                <w:sz w:val="22"/>
                <w:szCs w:val="22"/>
              </w:rPr>
              <w:t>Dyski twarde</w:t>
            </w:r>
          </w:p>
        </w:tc>
        <w:tc>
          <w:tcPr>
            <w:tcW w:w="8500" w:type="dxa"/>
          </w:tcPr>
          <w:p w14:paraId="6A453E01" w14:textId="4F721C04" w:rsidR="001961E5" w:rsidRPr="00357908" w:rsidRDefault="001961E5" w:rsidP="000B394A">
            <w:pPr>
              <w:rPr>
                <w:rFonts w:ascii="Times New Roman" w:hAnsi="Times New Roman" w:cs="Times New Roman"/>
                <w:sz w:val="22"/>
                <w:szCs w:val="22"/>
                <w:lang w:val="de-DE"/>
              </w:rPr>
            </w:pP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Zainstalowane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dyski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 xml:space="preserve"> o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minimalnych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parametrach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:</w:t>
            </w:r>
          </w:p>
          <w:p w14:paraId="19C675C0" w14:textId="2B3DC4EB" w:rsidR="001961E5" w:rsidRPr="00357908" w:rsidRDefault="001961E5" w:rsidP="000B394A">
            <w:pPr>
              <w:rPr>
                <w:rFonts w:ascii="Times New Roman" w:hAnsi="Times New Roman" w:cs="Times New Roman"/>
                <w:sz w:val="22"/>
                <w:szCs w:val="22"/>
                <w:lang w:val="de-DE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2 dyski M.2 NVMe SSDs o pojemności 480GB Hot-Plug skonfigurowane w RAID 1 z zainstalowanym systemem operacyjnym opisanym w dalszej cześci</w:t>
            </w:r>
          </w:p>
          <w:p w14:paraId="6D9FF4AE" w14:textId="51A76222" w:rsidR="001961E5" w:rsidRPr="00357908" w:rsidRDefault="001961E5" w:rsidP="000B394A">
            <w:pPr>
              <w:rPr>
                <w:rFonts w:ascii="Times New Roman" w:hAnsi="Times New Roman" w:cs="Times New Roman"/>
                <w:sz w:val="22"/>
                <w:szCs w:val="22"/>
                <w:lang w:val="de-DE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 xml:space="preserve">4 dyski 1,92TB SSD SATA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typu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ReadIntensive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 xml:space="preserve"> DWPD&gt;=1</w:t>
            </w:r>
          </w:p>
        </w:tc>
      </w:tr>
      <w:tr w:rsidR="001961E5" w:rsidRPr="00357908" w14:paraId="675EACE4" w14:textId="77777777" w:rsidTr="009631BD">
        <w:trPr>
          <w:trHeight w:val="70"/>
        </w:trPr>
        <w:tc>
          <w:tcPr>
            <w:tcW w:w="1843" w:type="dxa"/>
          </w:tcPr>
          <w:p w14:paraId="77183A80" w14:textId="77777777" w:rsidR="001961E5" w:rsidRPr="00357908" w:rsidRDefault="001961E5" w:rsidP="000B394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b/>
                <w:sz w:val="22"/>
                <w:szCs w:val="22"/>
                <w:lang w:val="de-DE"/>
              </w:rPr>
              <w:t>Wbudowane porty</w:t>
            </w:r>
          </w:p>
        </w:tc>
        <w:tc>
          <w:tcPr>
            <w:tcW w:w="8500" w:type="dxa"/>
          </w:tcPr>
          <w:p w14:paraId="77893FBA" w14:textId="77777777" w:rsidR="001961E5" w:rsidRPr="00357908" w:rsidRDefault="001961E5" w:rsidP="000B394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3 x USB z czego nie mniej niż 1x USB 3.0, 2xVGA z czego jeden na panelu przednim.</w:t>
            </w:r>
          </w:p>
        </w:tc>
      </w:tr>
      <w:tr w:rsidR="001961E5" w:rsidRPr="00357908" w14:paraId="5F9EA826" w14:textId="77777777" w:rsidTr="009631BD">
        <w:trPr>
          <w:trHeight w:val="70"/>
        </w:trPr>
        <w:tc>
          <w:tcPr>
            <w:tcW w:w="1843" w:type="dxa"/>
          </w:tcPr>
          <w:p w14:paraId="361B9D71" w14:textId="77777777" w:rsidR="001961E5" w:rsidRPr="00357908" w:rsidRDefault="001961E5" w:rsidP="000B394A">
            <w:pPr>
              <w:rPr>
                <w:rFonts w:ascii="Times New Roman" w:hAnsi="Times New Roman" w:cs="Times New Roman"/>
                <w:b/>
                <w:sz w:val="22"/>
                <w:szCs w:val="22"/>
                <w:lang w:val="de-DE"/>
              </w:rPr>
            </w:pPr>
            <w:r w:rsidRPr="00357908">
              <w:rPr>
                <w:rFonts w:ascii="Times New Roman" w:hAnsi="Times New Roman" w:cs="Times New Roman"/>
                <w:b/>
                <w:sz w:val="22"/>
                <w:szCs w:val="22"/>
                <w:lang w:val="de-DE"/>
              </w:rPr>
              <w:t>Video</w:t>
            </w:r>
          </w:p>
        </w:tc>
        <w:tc>
          <w:tcPr>
            <w:tcW w:w="8500" w:type="dxa"/>
          </w:tcPr>
          <w:p w14:paraId="5C73C021" w14:textId="77777777" w:rsidR="001961E5" w:rsidRPr="00357908" w:rsidRDefault="001961E5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Zintegrowana karta graficzna umożliwiająca wyświetlenie rozdzielczości min. 1280x1024</w:t>
            </w:r>
          </w:p>
        </w:tc>
      </w:tr>
      <w:tr w:rsidR="001961E5" w:rsidRPr="00357908" w14:paraId="1FEE0364" w14:textId="77777777" w:rsidTr="009631BD">
        <w:trPr>
          <w:trHeight w:val="70"/>
        </w:trPr>
        <w:tc>
          <w:tcPr>
            <w:tcW w:w="1843" w:type="dxa"/>
          </w:tcPr>
          <w:p w14:paraId="64A5A4CD" w14:textId="77777777" w:rsidR="001961E5" w:rsidRPr="00357908" w:rsidRDefault="001961E5" w:rsidP="000B394A">
            <w:pPr>
              <w:rPr>
                <w:rFonts w:ascii="Times New Roman" w:hAnsi="Times New Roman" w:cs="Times New Roman"/>
                <w:b/>
                <w:sz w:val="22"/>
                <w:szCs w:val="22"/>
                <w:lang w:val="de-DE"/>
              </w:rPr>
            </w:pPr>
            <w:r w:rsidRPr="00357908">
              <w:rPr>
                <w:rFonts w:ascii="Times New Roman" w:hAnsi="Times New Roman" w:cs="Times New Roman"/>
                <w:b/>
                <w:sz w:val="22"/>
                <w:szCs w:val="22"/>
              </w:rPr>
              <w:t>Zasilacze</w:t>
            </w:r>
          </w:p>
        </w:tc>
        <w:tc>
          <w:tcPr>
            <w:tcW w:w="8500" w:type="dxa"/>
          </w:tcPr>
          <w:p w14:paraId="41B034FF" w14:textId="17E05613" w:rsidR="001961E5" w:rsidRPr="00357908" w:rsidRDefault="001961E5" w:rsidP="000B394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Redundantne, Hot-Plug </w:t>
            </w:r>
            <w:r w:rsidR="009631BD" w:rsidRPr="00357908">
              <w:rPr>
                <w:rFonts w:ascii="Times New Roman" w:hAnsi="Times New Roman" w:cs="Times New Roman"/>
                <w:sz w:val="22"/>
                <w:szCs w:val="22"/>
              </w:rPr>
              <w:t>max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9631BD" w:rsidRPr="00357908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0W </w:t>
            </w:r>
            <w:r w:rsidR="009631BD" w:rsidRPr="00357908">
              <w:rPr>
                <w:rFonts w:ascii="Times New Roman" w:hAnsi="Times New Roman" w:cs="Times New Roman"/>
                <w:sz w:val="22"/>
                <w:szCs w:val="22"/>
              </w:rPr>
              <w:t>każdy, k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lasy Titanium</w:t>
            </w:r>
          </w:p>
        </w:tc>
      </w:tr>
      <w:tr w:rsidR="001961E5" w:rsidRPr="00357908" w14:paraId="2BA68F2D" w14:textId="77777777" w:rsidTr="009631BD">
        <w:trPr>
          <w:trHeight w:val="70"/>
        </w:trPr>
        <w:tc>
          <w:tcPr>
            <w:tcW w:w="1843" w:type="dxa"/>
          </w:tcPr>
          <w:p w14:paraId="0904C443" w14:textId="77777777" w:rsidR="001961E5" w:rsidRPr="00357908" w:rsidRDefault="001961E5" w:rsidP="000B394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Bezpieczeństwo</w:t>
            </w:r>
          </w:p>
        </w:tc>
        <w:tc>
          <w:tcPr>
            <w:tcW w:w="8500" w:type="dxa"/>
          </w:tcPr>
          <w:p w14:paraId="16E9E2E8" w14:textId="77777777" w:rsidR="001961E5" w:rsidRPr="00357908" w:rsidRDefault="001961E5" w:rsidP="000B394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11"/>
              <w:jc w:val="left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57908">
              <w:rPr>
                <w:rFonts w:ascii="Times New Roman" w:hAnsi="Times New Roman" w:cs="Times New Roman"/>
                <w:color w:val="000000"/>
                <w:sz w:val="22"/>
              </w:rPr>
              <w:t>Zatrzask górnej pokrywy oraz blokada na ramce panela frontowego zamykane na klucz w celu do ochrony nieautoryzowanego dostępu do dysków twardych i wewnętrznych elementów serwera.</w:t>
            </w:r>
          </w:p>
          <w:p w14:paraId="25B2AA56" w14:textId="77777777" w:rsidR="001961E5" w:rsidRPr="00357908" w:rsidRDefault="001961E5" w:rsidP="000B394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11"/>
              <w:jc w:val="left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57908">
              <w:rPr>
                <w:rFonts w:ascii="Times New Roman" w:hAnsi="Times New Roman" w:cs="Times New Roman"/>
                <w:color w:val="000000"/>
                <w:sz w:val="22"/>
              </w:rPr>
              <w:lastRenderedPageBreak/>
              <w:t xml:space="preserve">Możliwość wyłączenia w BIOS funkcji przycisku zasilania. </w:t>
            </w:r>
          </w:p>
          <w:p w14:paraId="523D66BB" w14:textId="77777777" w:rsidR="001961E5" w:rsidRPr="00357908" w:rsidRDefault="001961E5" w:rsidP="000B394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11"/>
              <w:jc w:val="left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57908">
              <w:rPr>
                <w:rFonts w:ascii="Times New Roman" w:hAnsi="Times New Roman" w:cs="Times New Roman"/>
                <w:color w:val="000000"/>
                <w:sz w:val="22"/>
              </w:rPr>
              <w:t xml:space="preserve">BIOS ma możliwość przejścia do bezpiecznego trybu rozruchowego z możliwością zarządzania blokadą zasilania, panelem sterowania oraz zmianą hasła </w:t>
            </w:r>
          </w:p>
          <w:p w14:paraId="189AE456" w14:textId="77777777" w:rsidR="001961E5" w:rsidRPr="00357908" w:rsidRDefault="001961E5" w:rsidP="000B394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11"/>
              <w:jc w:val="left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57908">
              <w:rPr>
                <w:rFonts w:ascii="Times New Roman" w:hAnsi="Times New Roman" w:cs="Times New Roman"/>
                <w:color w:val="000000"/>
                <w:sz w:val="22"/>
              </w:rPr>
              <w:t xml:space="preserve">Wbudowany czujnik otwarcia obudowy współpracujący z BIOS i kartą zarządzającą. </w:t>
            </w:r>
          </w:p>
          <w:p w14:paraId="093666E6" w14:textId="77777777" w:rsidR="001961E5" w:rsidRPr="00357908" w:rsidRDefault="001961E5" w:rsidP="000B394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11"/>
              <w:jc w:val="left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57908">
              <w:rPr>
                <w:rFonts w:ascii="Times New Roman" w:hAnsi="Times New Roman" w:cs="Times New Roman"/>
                <w:color w:val="000000"/>
                <w:sz w:val="22"/>
              </w:rPr>
              <w:t xml:space="preserve">Moduł TPM 2.0 </w:t>
            </w:r>
          </w:p>
          <w:p w14:paraId="07164D1D" w14:textId="77777777" w:rsidR="001961E5" w:rsidRPr="00357908" w:rsidRDefault="001961E5" w:rsidP="000B394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11"/>
              <w:jc w:val="left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57908">
              <w:rPr>
                <w:rFonts w:ascii="Times New Roman" w:hAnsi="Times New Roman" w:cs="Times New Roman"/>
                <w:color w:val="000000"/>
                <w:sz w:val="22"/>
              </w:rPr>
              <w:t>Możliwość dynamicznego włączania i wyłączania portów USB na obudowie – bez potrzeby restartu serwera.</w:t>
            </w:r>
          </w:p>
          <w:p w14:paraId="7D9916EA" w14:textId="77777777" w:rsidR="001961E5" w:rsidRPr="00357908" w:rsidRDefault="001961E5" w:rsidP="000B394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11"/>
              <w:jc w:val="left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57908">
              <w:rPr>
                <w:rFonts w:ascii="Times New Roman" w:hAnsi="Times New Roman" w:cs="Times New Roman"/>
                <w:color w:val="000000"/>
                <w:sz w:val="22"/>
              </w:rPr>
              <w:t>Możliwość wymazania danych ze znajdujących się dysków wewnątrz serwera – niezależne od zainstalowanego systemu operacyjnego, uruchamiane z poziomu zarządzania serwerem. </w:t>
            </w:r>
          </w:p>
          <w:p w14:paraId="751116DA" w14:textId="77777777" w:rsidR="001961E5" w:rsidRPr="00357908" w:rsidRDefault="001961E5" w:rsidP="000B394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04"/>
              <w:jc w:val="left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357908">
              <w:rPr>
                <w:rFonts w:ascii="Times New Roman" w:hAnsi="Times New Roman" w:cs="Times New Roman"/>
                <w:color w:val="000000"/>
                <w:sz w:val="22"/>
              </w:rPr>
              <w:t>Serwer musi być wyposażony w rozwiązanie zapewniające ochronę oprogramowania układowego przed manipulacją złośliwego oprogramowania. Ochrona taka musi być zgodna z zaleceniami NIST SP 800-147B i NIST SP 800-155. Jednocześnie Zamawiający wymaga, aby dostarczony serwer posiadał zaimplementowane sprzętowo mechanizmy kryptograficzne poświadczające integralność oprogramowania BIOS (Root of Trust).</w:t>
            </w:r>
          </w:p>
        </w:tc>
      </w:tr>
      <w:tr w:rsidR="001961E5" w:rsidRPr="00357908" w14:paraId="37C8FD84" w14:textId="77777777" w:rsidTr="009631BD">
        <w:trPr>
          <w:trHeight w:val="70"/>
        </w:trPr>
        <w:tc>
          <w:tcPr>
            <w:tcW w:w="1843" w:type="dxa"/>
          </w:tcPr>
          <w:p w14:paraId="2FCF6D11" w14:textId="77777777" w:rsidR="001961E5" w:rsidRPr="00357908" w:rsidRDefault="001961E5" w:rsidP="000B394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Diagnostyka</w:t>
            </w:r>
          </w:p>
        </w:tc>
        <w:tc>
          <w:tcPr>
            <w:tcW w:w="8500" w:type="dxa"/>
          </w:tcPr>
          <w:p w14:paraId="4397F619" w14:textId="77777777" w:rsidR="001961E5" w:rsidRPr="00357908" w:rsidRDefault="001961E5" w:rsidP="000B394A">
            <w:pPr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bCs/>
                <w:sz w:val="22"/>
                <w:szCs w:val="22"/>
              </w:rPr>
              <w:t>Serwer musi być wyposażony w panel LCD umieszczony na froncie obudowy, umożliwiający wyświetlenie informacji o stanie procesora, pamięci, dysków, BIOS’u, zasilaniu oraz temperaturze.</w:t>
            </w:r>
          </w:p>
        </w:tc>
      </w:tr>
      <w:tr w:rsidR="001961E5" w:rsidRPr="00357908" w14:paraId="70835719" w14:textId="77777777" w:rsidTr="009631BD">
        <w:trPr>
          <w:trHeight w:val="70"/>
        </w:trPr>
        <w:tc>
          <w:tcPr>
            <w:tcW w:w="1843" w:type="dxa"/>
          </w:tcPr>
          <w:p w14:paraId="34B28207" w14:textId="77777777" w:rsidR="001961E5" w:rsidRPr="00357908" w:rsidRDefault="001961E5" w:rsidP="000B394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Karta Zarządzania</w:t>
            </w:r>
          </w:p>
        </w:tc>
        <w:tc>
          <w:tcPr>
            <w:tcW w:w="8500" w:type="dxa"/>
          </w:tcPr>
          <w:p w14:paraId="3F330E8D" w14:textId="77777777" w:rsidR="001961E5" w:rsidRPr="00357908" w:rsidRDefault="001961E5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Niezależna od zainstalowanego na serwerze systemu operacyjnego posiadająca dedykowany port Gigabit Ethernet RJ-45 i umożliwiająca:</w:t>
            </w:r>
          </w:p>
          <w:p w14:paraId="24C2000E" w14:textId="77777777" w:rsidR="001961E5" w:rsidRPr="00357908" w:rsidRDefault="001961E5" w:rsidP="000B394A">
            <w:pPr>
              <w:pStyle w:val="Akapitzlist"/>
              <w:numPr>
                <w:ilvl w:val="0"/>
                <w:numId w:val="6"/>
              </w:numPr>
              <w:spacing w:line="240" w:lineRule="auto"/>
              <w:ind w:left="411"/>
              <w:jc w:val="left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>zdalny dostęp do graficznego interfejsu Web karty zarządzającej;</w:t>
            </w:r>
          </w:p>
          <w:p w14:paraId="4188E1D7" w14:textId="77777777" w:rsidR="001961E5" w:rsidRPr="00357908" w:rsidRDefault="001961E5" w:rsidP="000B394A">
            <w:pPr>
              <w:pStyle w:val="Akapitzlist"/>
              <w:numPr>
                <w:ilvl w:val="0"/>
                <w:numId w:val="6"/>
              </w:numPr>
              <w:spacing w:line="240" w:lineRule="auto"/>
              <w:ind w:left="411"/>
              <w:jc w:val="left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>zdalne monitorowanie i informowanie o statusie serwera (m.in. prędkości obrotowej wentylatorów, konfiguracji serwera);</w:t>
            </w:r>
          </w:p>
          <w:p w14:paraId="3B4CDD42" w14:textId="77777777" w:rsidR="001961E5" w:rsidRPr="00357908" w:rsidRDefault="001961E5" w:rsidP="000B394A">
            <w:pPr>
              <w:pStyle w:val="Akapitzlist"/>
              <w:numPr>
                <w:ilvl w:val="0"/>
                <w:numId w:val="6"/>
              </w:numPr>
              <w:spacing w:line="240" w:lineRule="auto"/>
              <w:ind w:left="411"/>
              <w:jc w:val="left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>szyfrowane połączenie (TLS) oraz autentykacje i autoryzację użytkownika;</w:t>
            </w:r>
          </w:p>
          <w:p w14:paraId="0ED0F2E3" w14:textId="77777777" w:rsidR="001961E5" w:rsidRPr="00357908" w:rsidRDefault="001961E5" w:rsidP="000B394A">
            <w:pPr>
              <w:pStyle w:val="Akapitzlist"/>
              <w:numPr>
                <w:ilvl w:val="0"/>
                <w:numId w:val="6"/>
              </w:numPr>
              <w:spacing w:line="240" w:lineRule="auto"/>
              <w:ind w:left="411"/>
              <w:jc w:val="left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>wsparcie dla IPv6;</w:t>
            </w:r>
          </w:p>
          <w:p w14:paraId="0102B401" w14:textId="77777777" w:rsidR="001961E5" w:rsidRPr="00357908" w:rsidRDefault="001961E5" w:rsidP="000B394A">
            <w:pPr>
              <w:pStyle w:val="Akapitzlist"/>
              <w:numPr>
                <w:ilvl w:val="0"/>
                <w:numId w:val="6"/>
              </w:numPr>
              <w:spacing w:line="240" w:lineRule="auto"/>
              <w:ind w:left="411"/>
              <w:jc w:val="left"/>
              <w:rPr>
                <w:rFonts w:ascii="Times New Roman" w:hAnsi="Times New Roman" w:cs="Times New Roman"/>
                <w:sz w:val="22"/>
                <w:lang w:val="en-US"/>
              </w:rPr>
            </w:pPr>
            <w:r w:rsidRPr="00357908">
              <w:rPr>
                <w:rFonts w:ascii="Times New Roman" w:hAnsi="Times New Roman" w:cs="Times New Roman"/>
                <w:sz w:val="22"/>
                <w:lang w:val="en-US"/>
              </w:rPr>
              <w:t>wsparcie dla WSMAN (Web Service for Management); SNMP; IPMI2.0, SSH, Redfish;</w:t>
            </w:r>
          </w:p>
          <w:p w14:paraId="5FC02D0E" w14:textId="77777777" w:rsidR="001961E5" w:rsidRPr="00357908" w:rsidRDefault="001961E5" w:rsidP="000B394A">
            <w:pPr>
              <w:pStyle w:val="Akapitzlist"/>
              <w:numPr>
                <w:ilvl w:val="0"/>
                <w:numId w:val="6"/>
              </w:numPr>
              <w:spacing w:line="240" w:lineRule="auto"/>
              <w:ind w:left="411"/>
              <w:jc w:val="left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>możliwość zdalnego monitorowania w czasie rzeczywistym poboru prądu przez serwer;</w:t>
            </w:r>
          </w:p>
          <w:p w14:paraId="6A8D4FBF" w14:textId="77777777" w:rsidR="001961E5" w:rsidRPr="00357908" w:rsidRDefault="001961E5" w:rsidP="000B394A">
            <w:pPr>
              <w:pStyle w:val="Akapitzlist"/>
              <w:numPr>
                <w:ilvl w:val="0"/>
                <w:numId w:val="6"/>
              </w:numPr>
              <w:spacing w:line="240" w:lineRule="auto"/>
              <w:ind w:left="411"/>
              <w:jc w:val="left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>integracja z Active Directory;</w:t>
            </w:r>
          </w:p>
          <w:p w14:paraId="4A3939A3" w14:textId="77777777" w:rsidR="001961E5" w:rsidRPr="00357908" w:rsidRDefault="001961E5" w:rsidP="000B394A">
            <w:pPr>
              <w:pStyle w:val="Akapitzlist"/>
              <w:numPr>
                <w:ilvl w:val="0"/>
                <w:numId w:val="6"/>
              </w:numPr>
              <w:spacing w:line="240" w:lineRule="auto"/>
              <w:ind w:left="411"/>
              <w:jc w:val="left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>wsparcie dla dynamic DNS;</w:t>
            </w:r>
          </w:p>
          <w:p w14:paraId="10650799" w14:textId="77777777" w:rsidR="001961E5" w:rsidRPr="00357908" w:rsidRDefault="001961E5" w:rsidP="000B394A">
            <w:pPr>
              <w:pStyle w:val="Akapitzlist"/>
              <w:numPr>
                <w:ilvl w:val="0"/>
                <w:numId w:val="6"/>
              </w:numPr>
              <w:spacing w:line="240" w:lineRule="auto"/>
              <w:ind w:left="411"/>
              <w:jc w:val="left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>wysyłanie do administratora maila z powiadomieniem o awarii lub zmianie konfiguracji sprzętowej.</w:t>
            </w:r>
          </w:p>
          <w:p w14:paraId="0EE122D8" w14:textId="77777777" w:rsidR="001961E5" w:rsidRPr="00357908" w:rsidRDefault="001961E5" w:rsidP="000B394A">
            <w:pPr>
              <w:pStyle w:val="Akapitzlist"/>
              <w:numPr>
                <w:ilvl w:val="0"/>
                <w:numId w:val="6"/>
              </w:numPr>
              <w:spacing w:line="240" w:lineRule="auto"/>
              <w:ind w:left="411"/>
              <w:jc w:val="left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>możliwość bezpośredniego zarządzania poprzez dedykowany port USB na przednim panelu serwera</w:t>
            </w:r>
          </w:p>
          <w:p w14:paraId="6E027D07" w14:textId="77777777" w:rsidR="001961E5" w:rsidRPr="00357908" w:rsidRDefault="001961E5" w:rsidP="000B394A">
            <w:pPr>
              <w:pStyle w:val="Akapitzlist"/>
              <w:numPr>
                <w:ilvl w:val="0"/>
                <w:numId w:val="6"/>
              </w:numPr>
              <w:spacing w:line="240" w:lineRule="auto"/>
              <w:ind w:left="411"/>
              <w:jc w:val="left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>możliwość zarządzania do 100 serwerów bezpośrednio z konsoli karty zarządzającej pojedynczego serwera</w:t>
            </w:r>
          </w:p>
        </w:tc>
      </w:tr>
      <w:tr w:rsidR="001961E5" w:rsidRPr="00357908" w14:paraId="54CC5120" w14:textId="77777777" w:rsidTr="009631BD">
        <w:trPr>
          <w:trHeight w:val="70"/>
        </w:trPr>
        <w:tc>
          <w:tcPr>
            <w:tcW w:w="1843" w:type="dxa"/>
          </w:tcPr>
          <w:p w14:paraId="79B14719" w14:textId="77777777" w:rsidR="001961E5" w:rsidRPr="00357908" w:rsidRDefault="001961E5" w:rsidP="000B394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Certyfikaty</w:t>
            </w:r>
          </w:p>
        </w:tc>
        <w:tc>
          <w:tcPr>
            <w:tcW w:w="8500" w:type="dxa"/>
          </w:tcPr>
          <w:p w14:paraId="21019560" w14:textId="77777777" w:rsidR="001961E5" w:rsidRPr="00357908" w:rsidRDefault="001961E5" w:rsidP="000B394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Serwer musi być wyprodukowany zgodnie z normą ISO-9001, ISO-14001, ISO-50001 - </w:t>
            </w:r>
            <w:r w:rsidRPr="00357908">
              <w:rPr>
                <w:rFonts w:ascii="Times New Roman" w:eastAsia="Tahoma" w:hAnsi="Times New Roman" w:cs="Times New Roman"/>
                <w:b/>
                <w:bCs/>
                <w:color w:val="000000"/>
                <w:sz w:val="22"/>
                <w:szCs w:val="22"/>
              </w:rPr>
              <w:t>dołączyć do oferty jako przedmiotowy środek dowodowy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Serwer musi posiadać deklarację CE - </w:t>
            </w:r>
            <w:r w:rsidRPr="00357908">
              <w:rPr>
                <w:rFonts w:ascii="Times New Roman" w:eastAsia="Tahoma" w:hAnsi="Times New Roman" w:cs="Times New Roman"/>
                <w:b/>
                <w:bCs/>
                <w:color w:val="000000"/>
                <w:sz w:val="22"/>
                <w:szCs w:val="22"/>
              </w:rPr>
              <w:t>dołączyć do oferty jako przedmiotowy środek dowodowy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1961E5" w:rsidRPr="00357908" w14:paraId="6E366F8F" w14:textId="77777777" w:rsidTr="009631BD">
        <w:trPr>
          <w:trHeight w:val="70"/>
        </w:trPr>
        <w:tc>
          <w:tcPr>
            <w:tcW w:w="1843" w:type="dxa"/>
          </w:tcPr>
          <w:p w14:paraId="3D511CE1" w14:textId="77777777" w:rsidR="001961E5" w:rsidRPr="00357908" w:rsidRDefault="001961E5" w:rsidP="000B394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System operacyjny</w:t>
            </w:r>
          </w:p>
        </w:tc>
        <w:tc>
          <w:tcPr>
            <w:tcW w:w="8500" w:type="dxa"/>
          </w:tcPr>
          <w:p w14:paraId="6BCDBEEC" w14:textId="0BB1ADAF" w:rsidR="001961E5" w:rsidRPr="00357908" w:rsidRDefault="001961E5" w:rsidP="000B394A">
            <w:pPr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 xml:space="preserve">Zamawiający wymaga dostarczenia oprogramowania systemowego w najnowszej aktualnej wersji, nieograniczonej czasowo. </w:t>
            </w:r>
            <w:r w:rsidR="009631BD"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Licencja musi uprawniać do uruchamiania serwerowego systemu operacyjnego (dalej SSO) w środowisku fizycznym lub dwóch wirtualnych środowisk serwerowego systemu operacyjnego za pomocą wbudowanych mechanizmów wirtualizacji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.</w:t>
            </w:r>
          </w:p>
          <w:p w14:paraId="4F22661C" w14:textId="77777777" w:rsidR="001961E5" w:rsidRPr="00357908" w:rsidRDefault="001961E5" w:rsidP="000B394A">
            <w:pPr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Dostarczona licencja musi być kompatybilna z dostarczonym serwerem oraz musi być zgodna z prawami licencyjnymi producenta.</w:t>
            </w:r>
          </w:p>
          <w:p w14:paraId="75B41C1B" w14:textId="77777777" w:rsidR="001961E5" w:rsidRPr="00357908" w:rsidRDefault="001961E5" w:rsidP="000B394A">
            <w:pPr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SSO musi posiadać następujące, wbudowane cechy:</w:t>
            </w:r>
          </w:p>
          <w:p w14:paraId="19A73325" w14:textId="77777777" w:rsidR="001961E5" w:rsidRPr="00357908" w:rsidRDefault="001961E5" w:rsidP="000B394A">
            <w:pPr>
              <w:ind w:left="444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a)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możliwość wykorzystania, co najmniej 320 logicznych procesorów oraz co najmniej 4 TB pamięci RAM w środowisku fizycznym,</w:t>
            </w:r>
          </w:p>
          <w:p w14:paraId="3E61C551" w14:textId="77777777" w:rsidR="001961E5" w:rsidRPr="00357908" w:rsidRDefault="001961E5" w:rsidP="000B394A">
            <w:pPr>
              <w:ind w:left="444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b)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możliwość wykorzystywania 64 procesorów wirtualnych oraz 1TB pamięci RAM i dysku o pojemności min. 64TB przez każdy wirtualny serwerowy system operacyjny,</w:t>
            </w:r>
          </w:p>
          <w:p w14:paraId="47DB9B14" w14:textId="77777777" w:rsidR="001961E5" w:rsidRPr="00357908" w:rsidRDefault="001961E5" w:rsidP="000B394A">
            <w:pPr>
              <w:ind w:left="444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lastRenderedPageBreak/>
              <w:t>c)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 xml:space="preserve">możliwość budowania klastrów składających się z 64 węzłów, z możliwością uruchamiania min.  8000 maszyn wirtualnych, </w:t>
            </w:r>
          </w:p>
          <w:p w14:paraId="4ED92242" w14:textId="77777777" w:rsidR="001961E5" w:rsidRPr="00357908" w:rsidRDefault="001961E5" w:rsidP="000B394A">
            <w:pPr>
              <w:ind w:left="444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d)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możliwość migracji maszyn wirtualnych bez zatrzymywania ich pracy między fizycznymi serwerami z uruchomionym mechanizmem wirtualizacji (hypervisor) przez sieć Ethernet, bez konieczności stosowania dodatkowych mechanizmów współdzielenia pamięci,</w:t>
            </w:r>
          </w:p>
          <w:p w14:paraId="7B042F91" w14:textId="77777777" w:rsidR="001961E5" w:rsidRPr="00357908" w:rsidRDefault="001961E5" w:rsidP="000B394A">
            <w:pPr>
              <w:ind w:left="444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e)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wsparcie (na umożliwiającym to sprzęcie) dodawania i wymiany pamięci RAM bez przerywania pracy,</w:t>
            </w:r>
          </w:p>
          <w:p w14:paraId="6AA1B599" w14:textId="77777777" w:rsidR="001961E5" w:rsidRPr="00357908" w:rsidRDefault="001961E5" w:rsidP="000B394A">
            <w:pPr>
              <w:ind w:left="444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f)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wsparcie (na umożliwiającym to sprzęcie) dodawania i wymiany procesorów bez przerywania pracy,</w:t>
            </w:r>
          </w:p>
          <w:p w14:paraId="58C0AC63" w14:textId="77777777" w:rsidR="001961E5" w:rsidRPr="00357908" w:rsidRDefault="001961E5" w:rsidP="000B394A">
            <w:pPr>
              <w:ind w:left="444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g)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automatyczna weryfikacja cyfrowych sygnatur sterowników w celu sprawdzenia, czy sterownik przeszedł testy jakości przeprowadzone przez producenta systemu operacyjnego,</w:t>
            </w:r>
          </w:p>
          <w:p w14:paraId="72A22AD4" w14:textId="77777777" w:rsidR="001961E5" w:rsidRPr="00357908" w:rsidRDefault="001961E5" w:rsidP="000B394A">
            <w:pPr>
              <w:ind w:left="444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h)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możliwość dynamicznego obniżania poboru energii przez rdzenie procesorów niewykorzystywane w bieżącej pracy (mechanizm ten musi uwzględniać specyfikę procesorów wyposażonych w mechanizmy Hyper-Threading),</w:t>
            </w:r>
          </w:p>
          <w:p w14:paraId="5251F130" w14:textId="77777777" w:rsidR="001961E5" w:rsidRPr="00357908" w:rsidRDefault="001961E5" w:rsidP="000B394A">
            <w:pPr>
              <w:ind w:left="444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i)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wbudowane wsparcie instalacji i pracy na wolumenach, które:</w:t>
            </w:r>
          </w:p>
          <w:p w14:paraId="2C9EA71D" w14:textId="77777777" w:rsidR="001961E5" w:rsidRPr="00357908" w:rsidRDefault="001961E5" w:rsidP="000B394A">
            <w:pPr>
              <w:ind w:left="975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I.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pozwalają na zmianę rozmiaru w czasie pracy systemu,</w:t>
            </w:r>
          </w:p>
          <w:p w14:paraId="5D7DD3DB" w14:textId="77777777" w:rsidR="001961E5" w:rsidRPr="00357908" w:rsidRDefault="001961E5" w:rsidP="000B394A">
            <w:pPr>
              <w:ind w:left="975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II.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umożliwiają tworzenie w czasie pracy systemu migawek, dających użytkownikom końcowym (lokalnym i sieciowym) prosty wgląd w poprzednie wersje plików i folderów,</w:t>
            </w:r>
          </w:p>
          <w:p w14:paraId="3F356DF9" w14:textId="77777777" w:rsidR="001961E5" w:rsidRPr="00357908" w:rsidRDefault="001961E5" w:rsidP="000B394A">
            <w:pPr>
              <w:ind w:left="975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III.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umożliwiają kompresję "w locie" dla wybranych plików i/lub folderów,</w:t>
            </w:r>
          </w:p>
          <w:p w14:paraId="7FC8B522" w14:textId="77777777" w:rsidR="001961E5" w:rsidRPr="00357908" w:rsidRDefault="001961E5" w:rsidP="000B394A">
            <w:pPr>
              <w:ind w:left="975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IV.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umożliwiają zdefiniowanie list kontroli dostępu (ACL),</w:t>
            </w:r>
          </w:p>
          <w:p w14:paraId="51D9C4B9" w14:textId="77777777" w:rsidR="001961E5" w:rsidRPr="00357908" w:rsidRDefault="001961E5" w:rsidP="000B394A">
            <w:pPr>
              <w:ind w:left="444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j)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wbudowany mechanizm klasyfikowania i indeksowania plików (dokumentów) w oparciu o ich zawartość,</w:t>
            </w:r>
          </w:p>
          <w:p w14:paraId="2A5CD249" w14:textId="77777777" w:rsidR="001961E5" w:rsidRPr="00357908" w:rsidRDefault="001961E5" w:rsidP="000B394A">
            <w:pPr>
              <w:ind w:left="444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k)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 xml:space="preserve">wbudowane szyfrowanie dysków przy pomocy mechanizmów posiadających min. certyfikat FIPS 140-2 </w:t>
            </w:r>
          </w:p>
          <w:p w14:paraId="45FC15A2" w14:textId="77777777" w:rsidR="001961E5" w:rsidRPr="00357908" w:rsidRDefault="001961E5" w:rsidP="000B394A">
            <w:pPr>
              <w:ind w:left="444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l)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możliwość uruchamiania aplikacji internetowych wykorzystujących technologię ASP.NET,</w:t>
            </w:r>
          </w:p>
          <w:p w14:paraId="72D6BCE4" w14:textId="77777777" w:rsidR="001961E5" w:rsidRPr="00357908" w:rsidRDefault="001961E5" w:rsidP="000B394A">
            <w:pPr>
              <w:ind w:left="444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m)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możliwość dystrybucji ruchu sieciowego HTTP pomiędzy kilka serwerów,</w:t>
            </w:r>
          </w:p>
          <w:p w14:paraId="33197D40" w14:textId="77777777" w:rsidR="001961E5" w:rsidRPr="00357908" w:rsidRDefault="001961E5" w:rsidP="000B394A">
            <w:pPr>
              <w:ind w:left="444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n)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wbudowana zapora internetowa (firewall) z obsługą definiowanych reguł dla ochrony połączeń internetowych i intranetowych,</w:t>
            </w:r>
          </w:p>
          <w:p w14:paraId="73E6D4FE" w14:textId="77777777" w:rsidR="001961E5" w:rsidRPr="00357908" w:rsidRDefault="001961E5" w:rsidP="000B394A">
            <w:pPr>
              <w:ind w:left="444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o)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graficzny interfejs użytkownika,</w:t>
            </w:r>
          </w:p>
          <w:p w14:paraId="7985FED1" w14:textId="77777777" w:rsidR="001961E5" w:rsidRPr="00357908" w:rsidRDefault="001961E5" w:rsidP="000B394A">
            <w:pPr>
              <w:ind w:left="444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p)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zlokalizowane w języku polskim, co najmniej następujące elementy: menu, przeglądarka internetowa, pomoc, komunikaty systemowe,</w:t>
            </w:r>
          </w:p>
          <w:p w14:paraId="248DA385" w14:textId="77777777" w:rsidR="001961E5" w:rsidRPr="00357908" w:rsidRDefault="001961E5" w:rsidP="000B394A">
            <w:pPr>
              <w:ind w:left="444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q)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 xml:space="preserve">wsparcie dla większości powszechnie używanych urządzeń peryferyjnych (drukarek, urządzeń sieciowych, standardów USB, </w:t>
            </w:r>
            <w:proofErr w:type="spellStart"/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Plug&amp;Play</w:t>
            </w:r>
            <w:proofErr w:type="spellEnd"/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),</w:t>
            </w:r>
          </w:p>
          <w:p w14:paraId="68C6E813" w14:textId="77777777" w:rsidR="001961E5" w:rsidRPr="00357908" w:rsidRDefault="001961E5" w:rsidP="000B394A">
            <w:pPr>
              <w:ind w:left="444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s)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możliwość zdalnej konfiguracji, administrowania oraz aktualizowania systemu,</w:t>
            </w:r>
          </w:p>
          <w:p w14:paraId="31C21B09" w14:textId="77777777" w:rsidR="001961E5" w:rsidRPr="00357908" w:rsidRDefault="001961E5" w:rsidP="000B394A">
            <w:pPr>
              <w:ind w:left="444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t)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dostępność bezpłatnych narzędzi producenta systemu umożliwiających badanie i wdrażanie zdefiniowanego zestawu polityk bezpieczeństwa,</w:t>
            </w:r>
          </w:p>
          <w:p w14:paraId="7E9404F4" w14:textId="77777777" w:rsidR="001961E5" w:rsidRPr="00357908" w:rsidRDefault="001961E5" w:rsidP="000B394A">
            <w:pPr>
              <w:ind w:left="444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u)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możliwość implementacji następujących funkcjonalności bez potrzeby instalowania dodatkowych produktów (oprogramowania) innych producentów wymagających dodatkowych licencji:</w:t>
            </w:r>
          </w:p>
          <w:p w14:paraId="0F8EF8EF" w14:textId="77777777" w:rsidR="001961E5" w:rsidRPr="00357908" w:rsidRDefault="001961E5" w:rsidP="000B394A">
            <w:pPr>
              <w:ind w:left="833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I.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podstawowe usługi sieciowe: DHCP oraz DNS wspierający DNSSEC,</w:t>
            </w:r>
          </w:p>
          <w:p w14:paraId="7AF098B3" w14:textId="77777777" w:rsidR="001961E5" w:rsidRPr="00357908" w:rsidRDefault="001961E5" w:rsidP="000B394A">
            <w:pPr>
              <w:ind w:left="833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II.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</w:t>
            </w:r>
          </w:p>
          <w:p w14:paraId="7B1F0DD9" w14:textId="77777777" w:rsidR="001961E5" w:rsidRPr="00357908" w:rsidRDefault="001961E5" w:rsidP="000B394A">
            <w:pPr>
              <w:ind w:left="1258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1)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podłączenie SSO do domeny w trybie offline – bez dostępnego połączenia sieciowego z domeną,</w:t>
            </w:r>
          </w:p>
          <w:p w14:paraId="716343BA" w14:textId="77777777" w:rsidR="001961E5" w:rsidRPr="00357908" w:rsidRDefault="001961E5" w:rsidP="000B394A">
            <w:pPr>
              <w:ind w:left="1258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2)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ustanawianie praw dostępu do zasobów domeny na bazie sposobu logowania użytkownika – na przykład typu certyfikatu użytego do logowania,</w:t>
            </w:r>
          </w:p>
          <w:p w14:paraId="082A2731" w14:textId="77777777" w:rsidR="001961E5" w:rsidRPr="00357908" w:rsidRDefault="001961E5" w:rsidP="000B394A">
            <w:pPr>
              <w:ind w:left="1258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3)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 xml:space="preserve">odzyskiwanie przypadkowo skasowanych obiektów usługi katalogowej z mechanizmu kosza, </w:t>
            </w:r>
          </w:p>
          <w:p w14:paraId="542E3693" w14:textId="77777777" w:rsidR="001961E5" w:rsidRPr="00357908" w:rsidRDefault="001961E5" w:rsidP="000B394A">
            <w:pPr>
              <w:ind w:left="833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lastRenderedPageBreak/>
              <w:t>III.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zdalna dystrybucja oprogramowania na stacje robocze,</w:t>
            </w:r>
          </w:p>
          <w:p w14:paraId="0BF092F3" w14:textId="77777777" w:rsidR="001961E5" w:rsidRPr="00357908" w:rsidRDefault="001961E5" w:rsidP="000B394A">
            <w:pPr>
              <w:ind w:left="833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IV.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praca zdalna na serwerze z wykorzystaniem terminala (cienkiego klienta) lub odpowiednio skonfigurowanej stacji roboczej,</w:t>
            </w:r>
          </w:p>
          <w:p w14:paraId="27423D2F" w14:textId="77777777" w:rsidR="001961E5" w:rsidRPr="00357908" w:rsidRDefault="001961E5" w:rsidP="000B394A">
            <w:pPr>
              <w:ind w:left="833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V.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centrum Certyfikatów (CA), obsługa klucza publicznego i prywatnego) umożliwiające:</w:t>
            </w:r>
          </w:p>
          <w:p w14:paraId="333203CD" w14:textId="77777777" w:rsidR="001961E5" w:rsidRPr="00357908" w:rsidRDefault="001961E5" w:rsidP="000B394A">
            <w:pPr>
              <w:ind w:left="1258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1)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dystrybucję certyfikatów poprzez http,</w:t>
            </w:r>
          </w:p>
          <w:p w14:paraId="20C88D24" w14:textId="77777777" w:rsidR="001961E5" w:rsidRPr="00357908" w:rsidRDefault="001961E5" w:rsidP="000B394A">
            <w:pPr>
              <w:ind w:left="1258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2)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konsolidację CA dla wielu lasów domeny,</w:t>
            </w:r>
          </w:p>
          <w:p w14:paraId="48DB645C" w14:textId="77777777" w:rsidR="001961E5" w:rsidRPr="00357908" w:rsidRDefault="001961E5" w:rsidP="000B394A">
            <w:pPr>
              <w:ind w:left="1258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3)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automatyczne rejestrowania certyfikatów pomiędzy różnymi lasami domen,</w:t>
            </w:r>
          </w:p>
          <w:p w14:paraId="23A605CD" w14:textId="77777777" w:rsidR="001961E5" w:rsidRPr="00357908" w:rsidRDefault="001961E5" w:rsidP="000B394A">
            <w:pPr>
              <w:ind w:left="833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VI.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szyfrowanie plików i folderów,</w:t>
            </w:r>
          </w:p>
          <w:p w14:paraId="33393DEC" w14:textId="77777777" w:rsidR="001961E5" w:rsidRPr="00357908" w:rsidRDefault="001961E5" w:rsidP="000B394A">
            <w:pPr>
              <w:ind w:left="833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VII.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szyfrowanie połączeń sieciowych pomiędzy serwerami oraz serwerami i stacjami roboczymi (IPSec),</w:t>
            </w:r>
          </w:p>
          <w:p w14:paraId="36096645" w14:textId="77777777" w:rsidR="001961E5" w:rsidRPr="00357908" w:rsidRDefault="001961E5" w:rsidP="000B394A">
            <w:pPr>
              <w:ind w:left="833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VIII.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 xml:space="preserve">możliwość tworzenia systemów wysokiej dostępności (klastry typu </w:t>
            </w:r>
            <w:proofErr w:type="spellStart"/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fail-over</w:t>
            </w:r>
            <w:proofErr w:type="spellEnd"/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) oraz rozłożenia obciążenia serwerów,</w:t>
            </w:r>
          </w:p>
          <w:p w14:paraId="21A52F3F" w14:textId="77777777" w:rsidR="001961E5" w:rsidRPr="00357908" w:rsidRDefault="001961E5" w:rsidP="000B394A">
            <w:pPr>
              <w:ind w:left="833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IX.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serwis udostępniania stron WWW,</w:t>
            </w:r>
          </w:p>
          <w:p w14:paraId="591256FB" w14:textId="77777777" w:rsidR="001961E5" w:rsidRPr="00357908" w:rsidRDefault="001961E5" w:rsidP="000B394A">
            <w:pPr>
              <w:ind w:left="833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X.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wsparcie dla protokołu IP w wersji 6 (IPv6),</w:t>
            </w:r>
          </w:p>
          <w:p w14:paraId="2F9FC5E2" w14:textId="77777777" w:rsidR="001961E5" w:rsidRPr="00357908" w:rsidRDefault="001961E5" w:rsidP="000B394A">
            <w:pPr>
              <w:ind w:left="833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XI.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 xml:space="preserve">wbudowane mechanizmy wirtualizacji (Hypervisor) pozwalające na uruchamianie min. 1000 aktywnych środowisk wirtualnych systemów operacyjnych. Wirtualne maszyny w trakcie pracy i bez zauważalnego zmniejszenia ich dostępności mogą być przenoszone pomiędzy serwerami klastra typu </w:t>
            </w:r>
            <w:proofErr w:type="spellStart"/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failover</w:t>
            </w:r>
            <w:proofErr w:type="spellEnd"/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 xml:space="preserve"> z jednoczesnym zachowaniem pozostałej funkcjonalności. Mechanizmy wirtualizacji mają zapewnić wsparcie dla:</w:t>
            </w:r>
          </w:p>
          <w:p w14:paraId="1F773BC1" w14:textId="77777777" w:rsidR="001961E5" w:rsidRPr="00357908" w:rsidRDefault="001961E5" w:rsidP="000B394A">
            <w:pPr>
              <w:ind w:left="1258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1)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dynamicznego podłączania zasobów dyskowych typu hot-plug do maszyn wirtualnych,</w:t>
            </w:r>
          </w:p>
          <w:p w14:paraId="3C3C2DFC" w14:textId="77777777" w:rsidR="001961E5" w:rsidRPr="00357908" w:rsidRDefault="001961E5" w:rsidP="000B394A">
            <w:pPr>
              <w:ind w:left="1258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2)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 xml:space="preserve">obsługi ramek typu jumbo </w:t>
            </w:r>
            <w:proofErr w:type="spellStart"/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frames</w:t>
            </w:r>
            <w:proofErr w:type="spellEnd"/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 xml:space="preserve"> dla maszyn wirtualnych,</w:t>
            </w:r>
          </w:p>
          <w:p w14:paraId="6BBCF256" w14:textId="77777777" w:rsidR="001961E5" w:rsidRPr="00357908" w:rsidRDefault="001961E5" w:rsidP="000B394A">
            <w:pPr>
              <w:ind w:left="1258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3)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 xml:space="preserve">obsługi 4-KB sektorów dysków, </w:t>
            </w:r>
          </w:p>
          <w:p w14:paraId="4AA9CC9F" w14:textId="77777777" w:rsidR="001961E5" w:rsidRPr="00357908" w:rsidRDefault="001961E5" w:rsidP="000B394A">
            <w:pPr>
              <w:ind w:left="1258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4)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nielimitowanej liczby jednocześnie przenoszonych maszyn wirtualnych pomiędzy węzłami klastra,</w:t>
            </w:r>
          </w:p>
          <w:p w14:paraId="6F1BC182" w14:textId="77777777" w:rsidR="001961E5" w:rsidRPr="00357908" w:rsidRDefault="001961E5" w:rsidP="000B394A">
            <w:pPr>
              <w:ind w:left="1258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5)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możliwości wirtualizacji sieci z zastosowaniem przełącznika, którego funkcjonalność może być rozszerzana jednocześnie poprzez oprogramowanie kilku innych dostawców poprzez otwarty interfejs API,</w:t>
            </w:r>
          </w:p>
          <w:p w14:paraId="16DB7896" w14:textId="77777777" w:rsidR="001961E5" w:rsidRPr="00357908" w:rsidRDefault="001961E5" w:rsidP="000B394A">
            <w:pPr>
              <w:ind w:left="1258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6)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 xml:space="preserve">możliwości kierowania ruchu sieciowego z wielu sieci VLAN bezpośrednio do pojedynczej karty sieciowej maszyny wirtualnej (tzw. </w:t>
            </w:r>
            <w:proofErr w:type="spellStart"/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trunk</w:t>
            </w:r>
            <w:proofErr w:type="spellEnd"/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 xml:space="preserve"> model),</w:t>
            </w:r>
          </w:p>
          <w:p w14:paraId="7CADDCBE" w14:textId="77777777" w:rsidR="001961E5" w:rsidRPr="00357908" w:rsidRDefault="001961E5" w:rsidP="000B394A">
            <w:pPr>
              <w:ind w:left="444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v)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możliwość automatycznej aktualizacji w oparciu o poprawki publikowane przez producenta wraz z dostępnością bezpłatnego rozwiązania producenta SSO umożliwiającego lokalną dystrybucję poprawek zatwierdzonych przez administratora, bez połączenia z siecią Internet,</w:t>
            </w:r>
          </w:p>
          <w:p w14:paraId="34FA6574" w14:textId="77777777" w:rsidR="001961E5" w:rsidRPr="00357908" w:rsidRDefault="001961E5" w:rsidP="000B394A">
            <w:pPr>
              <w:ind w:left="444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w)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wsparcie dostępu do zasobu dyskowego SSO poprzez wiele ścieżek (</w:t>
            </w:r>
            <w:proofErr w:type="spellStart"/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Multipath</w:t>
            </w:r>
            <w:proofErr w:type="spellEnd"/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),</w:t>
            </w:r>
          </w:p>
          <w:p w14:paraId="0512D382" w14:textId="77777777" w:rsidR="001961E5" w:rsidRPr="00357908" w:rsidRDefault="001961E5" w:rsidP="000B394A">
            <w:pPr>
              <w:ind w:left="444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x)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możliwość instalacji poprawek poprzez wgranie ich do obrazu instalacyjnego,</w:t>
            </w:r>
          </w:p>
          <w:p w14:paraId="3E48D6D4" w14:textId="77777777" w:rsidR="001961E5" w:rsidRPr="00357908" w:rsidRDefault="001961E5" w:rsidP="000B394A">
            <w:pPr>
              <w:ind w:left="444" w:hanging="425"/>
              <w:jc w:val="both"/>
              <w:rPr>
                <w:rFonts w:ascii="Times New Roman" w:eastAsia="Tahoma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y)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mechanizmy zdalnej administracji oraz mechanizmy (również działające zdalnie) administracji przez skrypty,</w:t>
            </w:r>
          </w:p>
          <w:p w14:paraId="0B664A20" w14:textId="77777777" w:rsidR="001961E5" w:rsidRPr="00357908" w:rsidRDefault="001961E5" w:rsidP="000B394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>z)</w:t>
            </w:r>
            <w:r w:rsidRPr="00357908">
              <w:rPr>
                <w:rFonts w:ascii="Times New Roman" w:eastAsia="Tahoma" w:hAnsi="Times New Roman" w:cs="Times New Roman"/>
                <w:sz w:val="22"/>
                <w:szCs w:val="22"/>
              </w:rPr>
              <w:tab/>
              <w:t>możliwość zarządzania przez wbudowane mechanizmy zgodne ze standardami WBEM oraz WS-Management organizacji DMTF.</w:t>
            </w:r>
          </w:p>
        </w:tc>
      </w:tr>
      <w:tr w:rsidR="009631BD" w:rsidRPr="00357908" w14:paraId="58AA36B8" w14:textId="77777777" w:rsidTr="009631BD">
        <w:trPr>
          <w:trHeight w:val="70"/>
        </w:trPr>
        <w:tc>
          <w:tcPr>
            <w:tcW w:w="1843" w:type="dxa"/>
          </w:tcPr>
          <w:p w14:paraId="7548911D" w14:textId="311333D4" w:rsidR="009631BD" w:rsidRPr="00357908" w:rsidRDefault="009631BD" w:rsidP="000B394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Licencje dostępowe</w:t>
            </w:r>
          </w:p>
        </w:tc>
        <w:tc>
          <w:tcPr>
            <w:tcW w:w="8500" w:type="dxa"/>
          </w:tcPr>
          <w:p w14:paraId="7BF3F27A" w14:textId="2F1AA2BA" w:rsidR="009631BD" w:rsidRPr="00357908" w:rsidRDefault="009631BD" w:rsidP="000B394A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Należy dostarczyć </w:t>
            </w:r>
            <w:r w:rsidRPr="00357908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20 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licencji dostępowych na użytkownika tzw. USER CAL</w:t>
            </w:r>
          </w:p>
        </w:tc>
      </w:tr>
      <w:tr w:rsidR="001961E5" w:rsidRPr="00357908" w14:paraId="1AACC6EF" w14:textId="77777777" w:rsidTr="009631BD">
        <w:trPr>
          <w:trHeight w:val="70"/>
        </w:trPr>
        <w:tc>
          <w:tcPr>
            <w:tcW w:w="1843" w:type="dxa"/>
          </w:tcPr>
          <w:p w14:paraId="3962BB28" w14:textId="77777777" w:rsidR="001961E5" w:rsidRPr="00357908" w:rsidRDefault="001961E5" w:rsidP="000B394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b/>
                <w:sz w:val="22"/>
                <w:szCs w:val="22"/>
              </w:rPr>
              <w:t>Warunki gwarancji</w:t>
            </w:r>
          </w:p>
        </w:tc>
        <w:tc>
          <w:tcPr>
            <w:tcW w:w="8500" w:type="dxa"/>
          </w:tcPr>
          <w:p w14:paraId="1BB2D143" w14:textId="07BF40EB" w:rsidR="001961E5" w:rsidRPr="00357908" w:rsidRDefault="001961E5" w:rsidP="000B394A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ab/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  <w:t xml:space="preserve">Minimum </w:t>
            </w:r>
            <w:r w:rsidR="009631BD" w:rsidRPr="00357908"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  <w:t>12 miesię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  <w:t>c</w:t>
            </w:r>
            <w:r w:rsidR="009631BD" w:rsidRPr="00357908"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  <w:t>y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  <w:t xml:space="preserve"> gwarancji producenta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z czasem reakcji do następnego dnia roboczego od przyjęcia zgłoszenia, możliwość zgłaszania awarii 24x7x365 poprzez ogólnopolską linię telefoniczną producenta. </w:t>
            </w:r>
          </w:p>
          <w:p w14:paraId="3612C81D" w14:textId="5748FE39" w:rsidR="001961E5" w:rsidRPr="00357908" w:rsidRDefault="001961E5" w:rsidP="000B394A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ab/>
              <w:t>Zamawiający wymaga od podmiotu realizującego serwis lub producenta sprzętu dołączenia do oferty oświadczenia, że w przypadku wystąpienia awarii dysku twardego w urządzeniu objętym aktywnym wparciem technicznym, uszkodzony dysk tw</w:t>
            </w:r>
            <w:r w:rsidR="009631BD"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ardy pozostaje u Zamawiającego – dokumenty potwierdzające należy załączyć do oferty.</w:t>
            </w:r>
          </w:p>
          <w:p w14:paraId="0993D309" w14:textId="406B728D" w:rsidR="001961E5" w:rsidRPr="00357908" w:rsidRDefault="001961E5" w:rsidP="000B394A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ab/>
              <w:t xml:space="preserve">Wymagane dołączenie do oferty oświadczenia Producenta potwierdzając, że Serwis urządzeń będzie realizowany bezpośrednio przez Producenta i/lub we współpracy z Autoryzowanym </w:t>
            </w:r>
            <w:r w:rsidR="009631BD"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Partnerem Serwisowym Producenta – dokumenty potwierdzające należy załączyć do oferty.</w:t>
            </w:r>
          </w:p>
          <w:p w14:paraId="0713B339" w14:textId="77777777" w:rsidR="001961E5" w:rsidRPr="00357908" w:rsidRDefault="001961E5" w:rsidP="000B394A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4.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ab/>
              <w:t xml:space="preserve">Zamawiający oczekuje rozpoczęcia diagnostyki telefonicznej / internetowej już w momencie dokonania zgłoszenia. Certyfikowany Technik wykonawcy / producenta z właściwym zestawem części do naprawy (potwierdzonym na etapie diagnostyki) ma rozpocząć naprawę w siedzibie zamawiającego najpóźniej w następnym dniu roboczym (NBD) od otrzymania zgłoszenia / zakończenia diagnostyki. Naprawa ma się odbywać w siedzibie zamawiającego, chyba, że zamawiający dla danej naprawy zgodzi się na inną formę.  </w:t>
            </w:r>
          </w:p>
          <w:p w14:paraId="19CF58F7" w14:textId="77777777" w:rsidR="001961E5" w:rsidRPr="00357908" w:rsidRDefault="001961E5" w:rsidP="000B394A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ab/>
              <w:t>Zamawiający oczekuje bezpośredniego dostępu do wykwalifikowanej kadry inżynierów technicznych a w przypadku konieczności eskalacji zgłoszenia serwisowego wyznaczonego Kierownika Eskalacji po stronie wykonawcy.</w:t>
            </w:r>
          </w:p>
          <w:p w14:paraId="4294CB9B" w14:textId="77777777" w:rsidR="001961E5" w:rsidRPr="00357908" w:rsidRDefault="001961E5" w:rsidP="000B394A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ab/>
              <w:t xml:space="preserve">Zamawiający wymaga pojedynczego punktu kontaktu dla całego rozwiązania producenta. </w:t>
            </w:r>
          </w:p>
          <w:p w14:paraId="6153C4E9" w14:textId="77777777" w:rsidR="001961E5" w:rsidRPr="00357908" w:rsidRDefault="001961E5" w:rsidP="000B394A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7.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ab/>
              <w:t>Zgłoszenie przyjęte jest potwierdzane przez zespół pomocy technicznej (mail/telefon / aplikacja / portal) przez nadanie unikalnego numeru zgłoszenia pozwalającego na identyfikację zgłoszenia w trakcie realizacji naprawy i po jej zakończeniu.</w:t>
            </w:r>
          </w:p>
          <w:p w14:paraId="65B6030C" w14:textId="77777777" w:rsidR="001961E5" w:rsidRPr="00357908" w:rsidRDefault="001961E5" w:rsidP="000B394A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8.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ab/>
              <w:t xml:space="preserve">Zamawiający oczekuje możliwości samodzielnego kwalifikowania poziomu ważności naprawy. </w:t>
            </w:r>
          </w:p>
          <w:p w14:paraId="129FCC7D" w14:textId="77777777" w:rsidR="001961E5" w:rsidRPr="00357908" w:rsidRDefault="001961E5" w:rsidP="000B394A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9.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ab/>
              <w:t xml:space="preserve">Możliwość sprawdzenia statusu gwarancji poprzez stronę producenta podając unikatowy numer urządzenia oraz pobieranie uaktualnień </w:t>
            </w:r>
            <w:proofErr w:type="spellStart"/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mikrokodu</w:t>
            </w:r>
            <w:proofErr w:type="spellEnd"/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oraz sterowników nawet w przypadku wygaśnięcia gwarancji urządzenia.</w:t>
            </w:r>
          </w:p>
          <w:p w14:paraId="177484D2" w14:textId="77777777" w:rsidR="001961E5" w:rsidRPr="00357908" w:rsidRDefault="001961E5" w:rsidP="000B394A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ab/>
              <w:t>Automatyczną diagnostykę i zdalne otwieranie zgłoszeń serwisowych.</w:t>
            </w:r>
          </w:p>
          <w:p w14:paraId="74F4AEF5" w14:textId="033A48EE" w:rsidR="001961E5" w:rsidRPr="00357908" w:rsidRDefault="001961E5" w:rsidP="000B394A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ab/>
              <w:t>Firma serwisująca musi posiadać ISO 9001 oraz ISO-27001 na świadczenie usług serwisowych – dokumenty potwierdzające należy załączyć do oferty.</w:t>
            </w:r>
          </w:p>
          <w:p w14:paraId="69E8E99C" w14:textId="1C9D008E" w:rsidR="001961E5" w:rsidRPr="00357908" w:rsidRDefault="001961E5" w:rsidP="000B394A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ab/>
              <w:t xml:space="preserve">Firma serwisująca musi posiadać autoryzacje producenta urządzeń – na potwierdzenie należy załączyć </w:t>
            </w:r>
            <w:r w:rsidR="009631BD"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dokument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np. certyfikat lub oświadczenie, potwierdzającym autoryzację dla</w:t>
            </w:r>
            <w:r w:rsidR="009631BD"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wskazanej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firmy serwisującej do świadczenia usług serwisowych w imieniu producenta urządzenia.</w:t>
            </w:r>
            <w:r w:rsidR="009631BD"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Zamawiający dopuszcza Oświadczenie Producenta ze wskazaniem firm(y) serwisującej świadczącej usługi serwisowe dla jej urządzeń na terenie Polsk</w:t>
            </w:r>
            <w:r w:rsidR="009631BD"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 – dokumenty potwierdzające należy załączyć do oferty</w:t>
            </w:r>
          </w:p>
          <w:p w14:paraId="2756E236" w14:textId="77777777" w:rsidR="001961E5" w:rsidRPr="00357908" w:rsidRDefault="001961E5" w:rsidP="000B394A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B30F19B" w14:textId="20BD4D3B" w:rsidR="001961E5" w:rsidRPr="00357908" w:rsidRDefault="001961E5" w:rsidP="000B394A">
            <w:pPr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highlight w:val="yellow"/>
              </w:rPr>
              <w:t xml:space="preserve">Wymagane dokumenty </w:t>
            </w:r>
            <w:r w:rsidR="00170633" w:rsidRPr="00357908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highlight w:val="yellow"/>
              </w:rPr>
              <w:t>należ</w:t>
            </w:r>
            <w:r w:rsidR="009631BD" w:rsidRPr="00357908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highlight w:val="yellow"/>
              </w:rPr>
              <w:t>y</w:t>
            </w:r>
            <w:r w:rsidRPr="00357908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highlight w:val="yellow"/>
              </w:rPr>
              <w:t xml:space="preserve"> dołączyć do oferty jako przedmiotowy środek dowodowy</w:t>
            </w:r>
          </w:p>
          <w:p w14:paraId="2FB1A5CB" w14:textId="77777777" w:rsidR="001961E5" w:rsidRPr="00357908" w:rsidRDefault="001961E5" w:rsidP="000B394A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D323875" w14:textId="77777777" w:rsidR="001961E5" w:rsidRPr="00357908" w:rsidRDefault="001961E5" w:rsidP="000B394A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  <w:t xml:space="preserve">Uwaga! Kryterium punktowane za rozszerzenie gwarancji, wsparcia technicznego i aktualizacyjnego do </w:t>
            </w:r>
            <w:r w:rsidRPr="00357908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highlight w:val="yellow"/>
              </w:rPr>
              <w:t>60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  <w:t xml:space="preserve"> miesięcy</w:t>
            </w:r>
          </w:p>
        </w:tc>
      </w:tr>
    </w:tbl>
    <w:p w14:paraId="628CF431" w14:textId="5480E2FA" w:rsidR="001961E5" w:rsidRPr="00357908" w:rsidRDefault="001961E5" w:rsidP="000B394A">
      <w:pPr>
        <w:rPr>
          <w:rFonts w:ascii="Times New Roman" w:hAnsi="Times New Roman" w:cs="Times New Roman"/>
          <w:sz w:val="22"/>
          <w:szCs w:val="22"/>
          <w:lang w:eastAsia="zh-CN" w:bidi="hi-IN"/>
        </w:rPr>
      </w:pPr>
    </w:p>
    <w:p w14:paraId="34D54BF9" w14:textId="75D05523" w:rsidR="001961E5" w:rsidRPr="00357908" w:rsidRDefault="001961E5" w:rsidP="000B394A">
      <w:pPr>
        <w:rPr>
          <w:rFonts w:ascii="Times New Roman" w:hAnsi="Times New Roman" w:cs="Times New Roman"/>
          <w:sz w:val="22"/>
          <w:szCs w:val="22"/>
          <w:lang w:eastAsia="zh-CN" w:bidi="hi-IN"/>
        </w:rPr>
      </w:pPr>
    </w:p>
    <w:p w14:paraId="07BBCAD6" w14:textId="135EA707" w:rsidR="00C77C57" w:rsidRPr="00357908" w:rsidRDefault="00C77C57" w:rsidP="000B394A">
      <w:pPr>
        <w:pStyle w:val="Nagwek1"/>
        <w:rPr>
          <w:rFonts w:ascii="Times New Roman" w:hAnsi="Times New Roman" w:cs="Times New Roman"/>
          <w:b/>
          <w:sz w:val="22"/>
          <w:szCs w:val="22"/>
        </w:rPr>
      </w:pPr>
      <w:bookmarkStart w:id="1" w:name="_Toc184565443"/>
      <w:r w:rsidRPr="00357908">
        <w:rPr>
          <w:rFonts w:ascii="Times New Roman" w:hAnsi="Times New Roman" w:cs="Times New Roman"/>
          <w:b/>
          <w:sz w:val="22"/>
          <w:szCs w:val="22"/>
        </w:rPr>
        <w:t>Centralny UPS 10kVA</w:t>
      </w:r>
      <w:bookmarkEnd w:id="1"/>
    </w:p>
    <w:p w14:paraId="4A611A1B" w14:textId="77777777" w:rsidR="00C77C57" w:rsidRPr="00357908" w:rsidRDefault="00C77C57" w:rsidP="000B394A">
      <w:pPr>
        <w:rPr>
          <w:rFonts w:ascii="Times New Roman" w:hAnsi="Times New Roman" w:cs="Times New Roman"/>
          <w:sz w:val="22"/>
          <w:szCs w:val="22"/>
        </w:rPr>
      </w:pPr>
    </w:p>
    <w:p w14:paraId="36CC483C" w14:textId="77777777" w:rsidR="00C77C57" w:rsidRPr="00357908" w:rsidRDefault="00C77C57" w:rsidP="000B394A">
      <w:pPr>
        <w:ind w:firstLine="432"/>
        <w:jc w:val="both"/>
        <w:rPr>
          <w:rFonts w:ascii="Times New Roman" w:hAnsi="Times New Roman" w:cs="Times New Roman"/>
          <w:sz w:val="22"/>
          <w:szCs w:val="22"/>
        </w:rPr>
      </w:pPr>
      <w:r w:rsidRPr="00357908">
        <w:rPr>
          <w:rFonts w:ascii="Times New Roman" w:hAnsi="Times New Roman" w:cs="Times New Roman"/>
          <w:sz w:val="22"/>
          <w:szCs w:val="22"/>
        </w:rPr>
        <w:t>Zamawiający wymaga podłączenia i uruchomienia UPS zgodnie z dobrymi praktykami producenta. Instalacja powinna być wykonana przez osoby autoryzowane lub serwis producenta w celu zachowania ewentualnych świadczeń gwarancyjnych. Zamawiający ze swojej strony zapewni wykonanie kabli zasilających i odbiorczych</w:t>
      </w:r>
    </w:p>
    <w:p w14:paraId="2B79A1EB" w14:textId="77777777" w:rsidR="00C77C57" w:rsidRPr="00357908" w:rsidRDefault="00C77C57" w:rsidP="000B394A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elasiatki1jasnaakcent1"/>
        <w:tblW w:w="10348" w:type="dxa"/>
        <w:tblInd w:w="-572" w:type="dxa"/>
        <w:tblLook w:val="04A0" w:firstRow="1" w:lastRow="0" w:firstColumn="1" w:lastColumn="0" w:noHBand="0" w:noVBand="1"/>
      </w:tblPr>
      <w:tblGrid>
        <w:gridCol w:w="1843"/>
        <w:gridCol w:w="8505"/>
      </w:tblGrid>
      <w:tr w:rsidR="00C77C57" w:rsidRPr="00357908" w14:paraId="3697C7BC" w14:textId="77777777" w:rsidTr="008358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hideMark/>
          </w:tcPr>
          <w:p w14:paraId="74458717" w14:textId="77777777" w:rsidR="00C77C57" w:rsidRPr="00357908" w:rsidRDefault="00C77C57" w:rsidP="000B394A">
            <w:pPr>
              <w:spacing w:after="12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5790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Cecha</w:t>
            </w:r>
          </w:p>
        </w:tc>
        <w:tc>
          <w:tcPr>
            <w:tcW w:w="8505" w:type="dxa"/>
            <w:hideMark/>
          </w:tcPr>
          <w:p w14:paraId="2A5C6B94" w14:textId="77777777" w:rsidR="00C77C57" w:rsidRPr="00357908" w:rsidRDefault="00C77C57" w:rsidP="000B3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5790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Wymagania minimalne</w:t>
            </w:r>
          </w:p>
        </w:tc>
      </w:tr>
      <w:tr w:rsidR="00C77C57" w:rsidRPr="00357908" w14:paraId="1200248D" w14:textId="77777777" w:rsidTr="008358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7D64F42" w14:textId="192CAD13" w:rsidR="00C77C57" w:rsidRPr="00357908" w:rsidRDefault="008358B6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Ogólne</w:t>
            </w:r>
          </w:p>
        </w:tc>
        <w:tc>
          <w:tcPr>
            <w:tcW w:w="8505" w:type="dxa"/>
          </w:tcPr>
          <w:p w14:paraId="3A636400" w14:textId="122C62F4" w:rsidR="00C77C57" w:rsidRPr="00357908" w:rsidRDefault="00C77C57" w:rsidP="000B394A">
            <w:pPr>
              <w:tabs>
                <w:tab w:val="left" w:pos="0"/>
              </w:tabs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Projektuje się zasilacz UPS pracujący w topologii on-line VFI-SS-111, wg normy IEC 62040-3, o mocy 10kVA/10kW, pracujący w konfiguracji 3f/3f (wejście 3-fazowe i wyjście 3-fazowe). UPS będzie wyposażony w wewnętrzny, bezprzerwowy bypass elektroniczny. Bypass wewnętrzny będzie posiadał zabezpieczenie przed zwrotnym podawaniem energii do sieci zasilającej (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backfeed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protection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, zgodnie z normą IEC 62040). UPS będzie zasilany dwutorowo – przez tor główny (układ prostownik-falownik) oraz tor rezerwowy (bypass elektroniczny). Dodatkowo będzie wyposażony w zewnętrzny tor obejściowy (serwisowy, mechaniczny). Baterie akumulatorów, zapewniające czas podtrzymania 21 minut dla obciążenia 10kW, będą umieszczone wewnątrz zasilacza UPS oraz w zewnętrznym module bateryjnym.</w:t>
            </w:r>
          </w:p>
        </w:tc>
      </w:tr>
      <w:tr w:rsidR="00C77C57" w:rsidRPr="00357908" w14:paraId="34C3B5CE" w14:textId="77777777" w:rsidTr="008358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26478C71" w14:textId="7880841E" w:rsidR="00C77C57" w:rsidRPr="00357908" w:rsidRDefault="00C77C57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Dane techniczne</w:t>
            </w:r>
          </w:p>
        </w:tc>
        <w:tc>
          <w:tcPr>
            <w:tcW w:w="8505" w:type="dxa"/>
          </w:tcPr>
          <w:p w14:paraId="514BD947" w14:textId="77777777" w:rsidR="00C77C57" w:rsidRPr="00357908" w:rsidRDefault="00C77C57" w:rsidP="000B394A">
            <w:pPr>
              <w:numPr>
                <w:ilvl w:val="0"/>
                <w:numId w:val="8"/>
              </w:numPr>
              <w:tabs>
                <w:tab w:val="left" w:pos="31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moc wyjściowa:</w:t>
            </w:r>
            <w:r w:rsidRPr="0035790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10 kVA/10 kW</w:t>
            </w:r>
          </w:p>
          <w:p w14:paraId="65DB5879" w14:textId="77777777" w:rsidR="00C77C57" w:rsidRPr="00357908" w:rsidRDefault="00C77C57" w:rsidP="000B394A">
            <w:pPr>
              <w:numPr>
                <w:ilvl w:val="0"/>
                <w:numId w:val="8"/>
              </w:numPr>
              <w:tabs>
                <w:tab w:val="left" w:pos="31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3/3 – trzy fazy wejściowe i trzy fazy wyjściowe</w:t>
            </w:r>
          </w:p>
          <w:p w14:paraId="2ADE1870" w14:textId="77777777" w:rsidR="00C77C57" w:rsidRPr="00357908" w:rsidRDefault="00C77C57" w:rsidP="000B394A">
            <w:pPr>
              <w:numPr>
                <w:ilvl w:val="0"/>
                <w:numId w:val="7"/>
              </w:numPr>
              <w:tabs>
                <w:tab w:val="left" w:pos="31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sprawność w trybie on-line: </w:t>
            </w:r>
            <w:r w:rsidRPr="00357908">
              <w:rPr>
                <w:rFonts w:ascii="Times New Roman" w:hAnsi="Times New Roman" w:cs="Times New Roman"/>
                <w:b/>
                <w:sz w:val="22"/>
                <w:szCs w:val="22"/>
              </w:rPr>
              <w:t>co najmniej 96,1% dla obciążenia w zakresie 75-100%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(do </w:t>
            </w:r>
            <w:r w:rsidRPr="00357908">
              <w:rPr>
                <w:rFonts w:ascii="Times New Roman" w:hAnsi="Times New Roman" w:cs="Times New Roman"/>
                <w:b/>
                <w:sz w:val="22"/>
                <w:szCs w:val="22"/>
              </w:rPr>
              <w:t>98,7%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w trybie oszczędzania energii)</w:t>
            </w:r>
          </w:p>
          <w:p w14:paraId="255C4B8B" w14:textId="77777777" w:rsidR="00C77C57" w:rsidRPr="00357908" w:rsidRDefault="00C77C57" w:rsidP="000B394A">
            <w:pPr>
              <w:numPr>
                <w:ilvl w:val="0"/>
                <w:numId w:val="7"/>
              </w:numPr>
              <w:tabs>
                <w:tab w:val="left" w:pos="31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tolerancja napięcia wejściowego prostownika, bez przejścia na pracę z baterii: 187-276 V</w:t>
            </w:r>
          </w:p>
          <w:p w14:paraId="60CAD894" w14:textId="77777777" w:rsidR="00C77C57" w:rsidRPr="00357908" w:rsidRDefault="00C77C57" w:rsidP="000B394A">
            <w:pPr>
              <w:numPr>
                <w:ilvl w:val="0"/>
                <w:numId w:val="7"/>
              </w:numPr>
              <w:tabs>
                <w:tab w:val="left" w:pos="31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częstotliwość wejściowa 50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Hz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lub 60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Hz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z tolerancją 40Hz do 72Hz</w:t>
            </w:r>
          </w:p>
          <w:p w14:paraId="60E391BC" w14:textId="77777777" w:rsidR="00C77C57" w:rsidRPr="00357908" w:rsidRDefault="00C77C57" w:rsidP="000B394A">
            <w:pPr>
              <w:numPr>
                <w:ilvl w:val="0"/>
                <w:numId w:val="7"/>
              </w:numPr>
              <w:tabs>
                <w:tab w:val="left" w:pos="31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wahania napięcia wyjściowego: &lt; 1%</w:t>
            </w:r>
          </w:p>
          <w:p w14:paraId="155ACFB0" w14:textId="77777777" w:rsidR="00C77C57" w:rsidRPr="00357908" w:rsidRDefault="00C77C57" w:rsidP="000B394A">
            <w:pPr>
              <w:numPr>
                <w:ilvl w:val="0"/>
                <w:numId w:val="7"/>
              </w:numPr>
              <w:tabs>
                <w:tab w:val="left" w:pos="31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wahania częstotliwości wyjściowej: ±0,1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Hz</w:t>
            </w:r>
            <w:proofErr w:type="spellEnd"/>
          </w:p>
          <w:p w14:paraId="57DE461D" w14:textId="77777777" w:rsidR="00C77C57" w:rsidRPr="00357908" w:rsidRDefault="00C77C57" w:rsidP="000B394A">
            <w:pPr>
              <w:numPr>
                <w:ilvl w:val="0"/>
                <w:numId w:val="7"/>
              </w:numPr>
              <w:tabs>
                <w:tab w:val="left" w:pos="31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cosφ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wyjściowy = 1</w:t>
            </w:r>
          </w:p>
          <w:p w14:paraId="0534A2B3" w14:textId="77777777" w:rsidR="00C77C57" w:rsidRPr="00357908" w:rsidRDefault="00C77C57" w:rsidP="000B394A">
            <w:pPr>
              <w:numPr>
                <w:ilvl w:val="0"/>
                <w:numId w:val="7"/>
              </w:numPr>
              <w:tabs>
                <w:tab w:val="left" w:pos="31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cosφ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wejściowy &gt; 0,99</w:t>
            </w:r>
          </w:p>
          <w:p w14:paraId="4F52708A" w14:textId="77777777" w:rsidR="00C77C57" w:rsidRPr="00357908" w:rsidRDefault="00C77C57" w:rsidP="000B394A">
            <w:pPr>
              <w:numPr>
                <w:ilvl w:val="0"/>
                <w:numId w:val="7"/>
              </w:numPr>
              <w:tabs>
                <w:tab w:val="left" w:pos="31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zabezpieczenie przed zwrotnym podaniem energii do sieci zasilającej (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backfeed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protection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, zgodnie z normą IEC 62040) w torze bypassu statycznego UPS</w:t>
            </w:r>
          </w:p>
          <w:p w14:paraId="28B42ADC" w14:textId="77777777" w:rsidR="00C77C57" w:rsidRPr="00357908" w:rsidRDefault="00C77C57" w:rsidP="000B394A">
            <w:pPr>
              <w:numPr>
                <w:ilvl w:val="0"/>
                <w:numId w:val="7"/>
              </w:numPr>
              <w:tabs>
                <w:tab w:val="left" w:pos="31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urządzenie powinno być wyposażone w system nieciągłego ładowania baterii. Należy dołączyć opis sposobu zarządzania pracą baterii. W opisie znaleźć się muszą informacje nt. trwania okresów ładowania forsującego, konserwującego i okresu spoczynkowego (tzw.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restingu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). Okres spoczynkowy w jednym cyklu nie może być krótszy niż 14 dni. Opis powinien być materiałem firmowym producenta</w:t>
            </w:r>
          </w:p>
          <w:p w14:paraId="22DD13C3" w14:textId="77777777" w:rsidR="00C77C57" w:rsidRPr="00357908" w:rsidRDefault="00C77C57" w:rsidP="000B394A">
            <w:pPr>
              <w:numPr>
                <w:ilvl w:val="0"/>
                <w:numId w:val="7"/>
              </w:numPr>
              <w:tabs>
                <w:tab w:val="left" w:pos="31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urządzenie powinno posiadać tryb oszczędzania energii, zapewniający automatyczne, bezprzerwowe przełączanie w tryb online (w czasie do 2ms) w przypadku wystąpienia nieprawidłowości w torze bypassu statycznego. Opis technologii powinien być materiałem firmowym producenta</w:t>
            </w:r>
          </w:p>
          <w:p w14:paraId="164BF184" w14:textId="77777777" w:rsidR="00C77C57" w:rsidRPr="00357908" w:rsidRDefault="00C77C57" w:rsidP="000B394A">
            <w:pPr>
              <w:numPr>
                <w:ilvl w:val="0"/>
                <w:numId w:val="7"/>
              </w:numPr>
              <w:tabs>
                <w:tab w:val="left" w:pos="31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wejściowe zniekształcenia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THDi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&lt; 5%</w:t>
            </w:r>
          </w:p>
          <w:p w14:paraId="7A7D07FA" w14:textId="77777777" w:rsidR="00C77C57" w:rsidRPr="00357908" w:rsidRDefault="00C77C57" w:rsidP="000B394A">
            <w:pPr>
              <w:numPr>
                <w:ilvl w:val="0"/>
                <w:numId w:val="7"/>
              </w:numPr>
              <w:tabs>
                <w:tab w:val="left" w:pos="31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wyjściowe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THDu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29A7F669" w14:textId="2675C3A2" w:rsidR="00C77C57" w:rsidRPr="00357908" w:rsidRDefault="00C77C57" w:rsidP="000B394A">
            <w:pPr>
              <w:tabs>
                <w:tab w:val="left" w:pos="1021"/>
              </w:tabs>
              <w:ind w:left="1021" w:hanging="3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-  dla obciążenia liniowego &lt; 1,5%, </w:t>
            </w:r>
          </w:p>
          <w:p w14:paraId="2BA4E5E6" w14:textId="4469B5F1" w:rsidR="00C77C57" w:rsidRPr="00357908" w:rsidRDefault="00C77C57" w:rsidP="000B394A">
            <w:pPr>
              <w:tabs>
                <w:tab w:val="left" w:pos="1021"/>
              </w:tabs>
              <w:ind w:left="1021" w:hanging="3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-  dla obciążenia nieliniowego &lt; 3,5%.</w:t>
            </w:r>
          </w:p>
          <w:p w14:paraId="70147488" w14:textId="77777777" w:rsidR="00C77C57" w:rsidRPr="00357908" w:rsidRDefault="00C77C57" w:rsidP="000B394A">
            <w:pPr>
              <w:numPr>
                <w:ilvl w:val="0"/>
                <w:numId w:val="7"/>
              </w:numPr>
              <w:tabs>
                <w:tab w:val="left" w:pos="31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Urządzenie musi posiadać panel komunikacyjny, w którym powinny być zainstalowane:</w:t>
            </w:r>
          </w:p>
          <w:p w14:paraId="5BC7664A" w14:textId="7981BA89" w:rsidR="00C77C57" w:rsidRPr="00357908" w:rsidRDefault="00C77C57" w:rsidP="000B394A">
            <w:pPr>
              <w:ind w:left="1021" w:hanging="3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-  gniazdo komunikacji RS-232,</w:t>
            </w:r>
          </w:p>
          <w:p w14:paraId="0BABF97B" w14:textId="3B918B94" w:rsidR="00C77C57" w:rsidRPr="00357908" w:rsidRDefault="00C77C57" w:rsidP="000B394A">
            <w:pPr>
              <w:ind w:left="1021" w:hanging="3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-  gniazdo wyłącznika awaryjnego p.poż.</w:t>
            </w:r>
          </w:p>
          <w:p w14:paraId="5F8E99EE" w14:textId="77777777" w:rsidR="00C77C57" w:rsidRPr="00357908" w:rsidRDefault="00C77C57" w:rsidP="000B394A">
            <w:pPr>
              <w:numPr>
                <w:ilvl w:val="0"/>
                <w:numId w:val="7"/>
              </w:numPr>
              <w:tabs>
                <w:tab w:val="left" w:pos="31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interfejsy komunikacyjne: SNMP – karta sieciowa Gigabit Ethernet, zgodność ze standardem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cyberbezpieczeństwa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UL 2900-1, UL 2900-2-2 oraz IEC 62443-4-2, szyfrowanie TLS 1.2. Należy przedstawić certyfikaty potwierdzające spełnianie wymaganych norm, wystawione przez niezależną jednostkę badawczą (opcjonalnie: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Modbus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RTU,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Modbus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TCP,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BACNet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IP, styki przekaźnikowe)</w:t>
            </w:r>
          </w:p>
          <w:p w14:paraId="7CB42CC7" w14:textId="77777777" w:rsidR="00C77C57" w:rsidRPr="00357908" w:rsidRDefault="00C77C57" w:rsidP="000B394A">
            <w:pPr>
              <w:numPr>
                <w:ilvl w:val="0"/>
                <w:numId w:val="7"/>
              </w:numPr>
              <w:tabs>
                <w:tab w:val="left" w:pos="31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graficzny dotykowy wyświetlacz LCD z komunikatami w języku polskim</w:t>
            </w:r>
          </w:p>
          <w:p w14:paraId="2726CF06" w14:textId="77777777" w:rsidR="00C77C57" w:rsidRPr="00357908" w:rsidRDefault="00C77C57" w:rsidP="000B394A">
            <w:pPr>
              <w:numPr>
                <w:ilvl w:val="0"/>
                <w:numId w:val="7"/>
              </w:numPr>
              <w:tabs>
                <w:tab w:val="left" w:pos="31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oświetlenie LED zamontowane w drzwiach UPS, sygnalizujące stany pracy: online, bypass statyczny, tryb bateryjny, awaria UPS</w:t>
            </w:r>
          </w:p>
          <w:p w14:paraId="21E3A1D2" w14:textId="77777777" w:rsidR="00C77C57" w:rsidRPr="00357908" w:rsidRDefault="00C77C57" w:rsidP="000B394A">
            <w:pPr>
              <w:tabs>
                <w:tab w:val="left" w:pos="312"/>
              </w:tabs>
              <w:ind w:left="312" w:hanging="3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7C57" w:rsidRPr="00357908" w14:paraId="654B3A2B" w14:textId="77777777" w:rsidTr="008358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2120D73" w14:textId="4589E397" w:rsidR="00C77C57" w:rsidRPr="00357908" w:rsidRDefault="00C77C57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Cechy jakościowe</w:t>
            </w:r>
          </w:p>
        </w:tc>
        <w:tc>
          <w:tcPr>
            <w:tcW w:w="8505" w:type="dxa"/>
          </w:tcPr>
          <w:p w14:paraId="531E4338" w14:textId="07223C7A" w:rsidR="00C77C57" w:rsidRPr="00357908" w:rsidRDefault="00C77C57" w:rsidP="000B394A">
            <w:pPr>
              <w:tabs>
                <w:tab w:val="left" w:pos="31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Producent urządzenia musi znajdować się na liście Energy Technology List w zakresie systemów zasilania gwarantowanego UPS</w:t>
            </w:r>
          </w:p>
          <w:p w14:paraId="6204D0CD" w14:textId="77777777" w:rsidR="00C77C57" w:rsidRPr="00357908" w:rsidRDefault="00C77C57" w:rsidP="000B394A">
            <w:pPr>
              <w:tabs>
                <w:tab w:val="left" w:pos="31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9ADE34" w14:textId="253525A2" w:rsidR="00C77C57" w:rsidRPr="00357908" w:rsidRDefault="00C77C57" w:rsidP="000B394A">
            <w:pPr>
              <w:tabs>
                <w:tab w:val="left" w:pos="31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Producent urządzenia musi posiadać ważny certyfikat ISO 9001 w zakresie projektowania, produkcji, sprzedaży i serwisu systemów zasilania gwarantowanego UPS</w:t>
            </w:r>
          </w:p>
        </w:tc>
      </w:tr>
      <w:tr w:rsidR="00C77C57" w:rsidRPr="00357908" w14:paraId="48A4D12C" w14:textId="77777777" w:rsidTr="008358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68B99D5B" w14:textId="59C614FD" w:rsidR="00C77C57" w:rsidRPr="00357908" w:rsidRDefault="00C77C57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Cechy fizyczne</w:t>
            </w:r>
          </w:p>
        </w:tc>
        <w:tc>
          <w:tcPr>
            <w:tcW w:w="8505" w:type="dxa"/>
          </w:tcPr>
          <w:p w14:paraId="7E7470B2" w14:textId="59086A47" w:rsidR="00C77C57" w:rsidRPr="00357908" w:rsidRDefault="00C77C57" w:rsidP="000B394A">
            <w:pPr>
              <w:tabs>
                <w:tab w:val="left" w:pos="312"/>
              </w:tabs>
              <w:ind w:left="312" w:hanging="3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Wymiary UPS (szer. x gł. x wys.): 350 x 750 x 950 mm</w:t>
            </w:r>
          </w:p>
          <w:p w14:paraId="541454C6" w14:textId="693E2EC6" w:rsidR="00C77C57" w:rsidRPr="00357908" w:rsidRDefault="00C77C57" w:rsidP="000B394A">
            <w:pPr>
              <w:tabs>
                <w:tab w:val="left" w:pos="312"/>
              </w:tabs>
              <w:ind w:left="312" w:hanging="3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Masa UPS: max 170 kg</w:t>
            </w:r>
          </w:p>
          <w:p w14:paraId="2B05105D" w14:textId="31486BB9" w:rsidR="00C77C57" w:rsidRPr="00357908" w:rsidRDefault="00C77C57" w:rsidP="000B394A">
            <w:pPr>
              <w:tabs>
                <w:tab w:val="left" w:pos="312"/>
              </w:tabs>
              <w:ind w:left="312" w:hanging="3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Wymiary modułu bateryjnego (szer. x gł. x wys.): 200 x 750 x 950 mm</w:t>
            </w:r>
          </w:p>
          <w:p w14:paraId="7C5190DB" w14:textId="3B7BBB49" w:rsidR="00C77C57" w:rsidRPr="00357908" w:rsidRDefault="00C77C57" w:rsidP="000B394A">
            <w:pPr>
              <w:tabs>
                <w:tab w:val="left" w:pos="312"/>
              </w:tabs>
              <w:ind w:left="312" w:hanging="3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Masa modułu bateryjnego: max 130 kg</w:t>
            </w:r>
          </w:p>
          <w:p w14:paraId="33D68B25" w14:textId="2D07C2E6" w:rsidR="00C77C57" w:rsidRPr="00357908" w:rsidRDefault="00C77C57" w:rsidP="000B394A">
            <w:pPr>
              <w:tabs>
                <w:tab w:val="left" w:pos="312"/>
              </w:tabs>
              <w:ind w:left="312" w:hanging="3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Zyski ciepła z UPS przy 100% obciążenia:  maksimum 450W</w:t>
            </w:r>
          </w:p>
        </w:tc>
      </w:tr>
      <w:tr w:rsidR="00C77C57" w:rsidRPr="00357908" w14:paraId="6D402FB7" w14:textId="77777777" w:rsidTr="008358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4BB59C77" w14:textId="47295852" w:rsidR="00C77C57" w:rsidRPr="00357908" w:rsidRDefault="00C77C57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Gwarancja</w:t>
            </w:r>
          </w:p>
        </w:tc>
        <w:tc>
          <w:tcPr>
            <w:tcW w:w="8505" w:type="dxa"/>
          </w:tcPr>
          <w:p w14:paraId="1BF33405" w14:textId="3241532D" w:rsidR="00C77C57" w:rsidRPr="00357908" w:rsidRDefault="00C77C57" w:rsidP="000B394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  <w:t xml:space="preserve">Minimum </w:t>
            </w:r>
            <w:r w:rsidRPr="00357908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highlight w:val="yellow"/>
              </w:rPr>
              <w:t xml:space="preserve">12 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  <w:t>miesięcy gwarancji producenta</w:t>
            </w:r>
            <w:r w:rsidR="00170633"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świadczonej w miejscu instalacji UP</w:t>
            </w:r>
            <w:r w:rsidR="006331AC"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S, możliwość zgłaszania awarii 24x7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x365 poprzez ogólnopolską </w:t>
            </w:r>
            <w:r w:rsidR="00170633"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linię telefoniczną producenta</w:t>
            </w:r>
            <w:r w:rsidR="006331AC"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lub dedykowany polskojęzyczny portal producenta.</w:t>
            </w:r>
          </w:p>
          <w:p w14:paraId="3BD18DFC" w14:textId="77777777" w:rsidR="00170633" w:rsidRPr="00357908" w:rsidRDefault="00170633" w:rsidP="000B394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1405D19" w14:textId="3CF20E58" w:rsidR="00170633" w:rsidRPr="00357908" w:rsidRDefault="00170633" w:rsidP="000B394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  <w:t>Uwaga! Kryterium punkto</w:t>
            </w:r>
            <w:r w:rsidR="00D03CE4" w:rsidRPr="00357908"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  <w:t xml:space="preserve">wane za rozszerzenie gwarancji 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  <w:t xml:space="preserve">do </w:t>
            </w:r>
            <w:r w:rsidR="008358B6" w:rsidRPr="00357908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highlight w:val="yellow"/>
              </w:rPr>
              <w:t>24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  <w:t xml:space="preserve"> miesięcy</w:t>
            </w:r>
          </w:p>
        </w:tc>
      </w:tr>
    </w:tbl>
    <w:p w14:paraId="57F94369" w14:textId="109BF561" w:rsidR="001961E5" w:rsidRPr="00357908" w:rsidRDefault="001961E5" w:rsidP="000B394A">
      <w:pPr>
        <w:rPr>
          <w:rFonts w:ascii="Times New Roman" w:hAnsi="Times New Roman" w:cs="Times New Roman"/>
          <w:sz w:val="22"/>
          <w:szCs w:val="22"/>
          <w:lang w:eastAsia="zh-CN" w:bidi="hi-IN"/>
        </w:rPr>
      </w:pPr>
    </w:p>
    <w:p w14:paraId="0C74ED7D" w14:textId="77777777" w:rsidR="008358B6" w:rsidRPr="00357908" w:rsidRDefault="008358B6" w:rsidP="000B394A">
      <w:pPr>
        <w:rPr>
          <w:rFonts w:ascii="Times New Roman" w:hAnsi="Times New Roman" w:cs="Times New Roman"/>
          <w:sz w:val="22"/>
          <w:szCs w:val="22"/>
          <w:lang w:eastAsia="zh-CN" w:bidi="hi-IN"/>
        </w:rPr>
      </w:pPr>
    </w:p>
    <w:p w14:paraId="7CC79DFD" w14:textId="68AF38B5" w:rsidR="008358B6" w:rsidRPr="00357908" w:rsidRDefault="008358B6" w:rsidP="000B394A">
      <w:pPr>
        <w:pStyle w:val="Nagwek1"/>
        <w:rPr>
          <w:rFonts w:ascii="Times New Roman" w:hAnsi="Times New Roman" w:cs="Times New Roman"/>
          <w:b/>
          <w:sz w:val="22"/>
          <w:szCs w:val="22"/>
        </w:rPr>
      </w:pPr>
      <w:bookmarkStart w:id="2" w:name="_Toc184565444"/>
      <w:r w:rsidRPr="00357908">
        <w:rPr>
          <w:rFonts w:ascii="Times New Roman" w:hAnsi="Times New Roman" w:cs="Times New Roman"/>
          <w:b/>
          <w:sz w:val="22"/>
          <w:szCs w:val="22"/>
        </w:rPr>
        <w:t>Urządzenie UTM</w:t>
      </w:r>
      <w:bookmarkEnd w:id="2"/>
    </w:p>
    <w:p w14:paraId="053A8ADD" w14:textId="07B56DA4" w:rsidR="001961E5" w:rsidRPr="00357908" w:rsidRDefault="001961E5" w:rsidP="000B394A">
      <w:pPr>
        <w:rPr>
          <w:rFonts w:ascii="Times New Roman" w:hAnsi="Times New Roman" w:cs="Times New Roman"/>
          <w:sz w:val="22"/>
          <w:szCs w:val="22"/>
          <w:lang w:eastAsia="zh-CN" w:bidi="hi-IN"/>
        </w:rPr>
      </w:pPr>
    </w:p>
    <w:p w14:paraId="52BE7F80" w14:textId="77777777" w:rsidR="00A40A03" w:rsidRPr="00357908" w:rsidRDefault="00A40A03" w:rsidP="000B394A">
      <w:pPr>
        <w:ind w:firstLine="432"/>
        <w:jc w:val="both"/>
        <w:rPr>
          <w:rFonts w:ascii="Times New Roman" w:hAnsi="Times New Roman" w:cs="Times New Roman"/>
          <w:sz w:val="22"/>
          <w:szCs w:val="22"/>
          <w:lang w:eastAsia="zh-CN" w:bidi="hi-IN"/>
        </w:rPr>
      </w:pPr>
      <w:r w:rsidRPr="00357908">
        <w:rPr>
          <w:rFonts w:ascii="Times New Roman" w:hAnsi="Times New Roman" w:cs="Times New Roman"/>
          <w:sz w:val="22"/>
          <w:szCs w:val="22"/>
          <w:lang w:eastAsia="zh-CN" w:bidi="hi-IN"/>
        </w:rPr>
        <w:t>W ramach dostawy Wykonawca musi dostarczyć system bezpieczeństwa klasy UTM spełniający poniższe wymagania.</w:t>
      </w:r>
    </w:p>
    <w:p w14:paraId="712E3587" w14:textId="77777777" w:rsidR="00A40A03" w:rsidRPr="00357908" w:rsidRDefault="00A40A03" w:rsidP="000B394A">
      <w:pPr>
        <w:jc w:val="both"/>
        <w:rPr>
          <w:rFonts w:ascii="Times New Roman" w:hAnsi="Times New Roman" w:cs="Times New Roman"/>
          <w:sz w:val="22"/>
          <w:szCs w:val="22"/>
          <w:lang w:eastAsia="zh-CN" w:bidi="hi-IN"/>
        </w:rPr>
      </w:pPr>
      <w:r w:rsidRPr="00357908">
        <w:rPr>
          <w:rFonts w:ascii="Times New Roman" w:hAnsi="Times New Roman" w:cs="Times New Roman"/>
          <w:sz w:val="22"/>
          <w:szCs w:val="22"/>
          <w:lang w:eastAsia="zh-CN" w:bidi="hi-IN"/>
        </w:rPr>
        <w:t>Zamawiający informuje, że obecnie użytkuje firewall Fortinet z którego to Wykonawca będzie zobowiązany do przeniesienia obecnej konfiguracji sieci oraz usunięcia ewentualnych błędów/konfliktów konfiguracyjnych w ramach dostawy.</w:t>
      </w:r>
    </w:p>
    <w:p w14:paraId="563BDE41" w14:textId="14C868B1" w:rsidR="00A40A03" w:rsidRPr="00357908" w:rsidRDefault="00A40A03" w:rsidP="000B394A">
      <w:pPr>
        <w:jc w:val="both"/>
        <w:rPr>
          <w:rFonts w:ascii="Times New Roman" w:hAnsi="Times New Roman" w:cs="Times New Roman"/>
          <w:sz w:val="22"/>
          <w:szCs w:val="22"/>
          <w:lang w:eastAsia="zh-CN" w:bidi="hi-IN"/>
        </w:rPr>
      </w:pPr>
      <w:r w:rsidRPr="00357908">
        <w:rPr>
          <w:rFonts w:ascii="Times New Roman" w:hAnsi="Times New Roman" w:cs="Times New Roman"/>
          <w:sz w:val="22"/>
          <w:szCs w:val="22"/>
          <w:lang w:eastAsia="zh-CN" w:bidi="hi-IN"/>
        </w:rPr>
        <w:t>Dostarczone rozwiązanie musi zostać zainstalowane w infrastrukturze sieciowej Zamawiającego zgodnie z najlepszymi praktykami i wszystkimi niezbędnymi do wykonania konfiguracjami, które to wynikną w czasie jego implementacji na sieci Zamawiającego.</w:t>
      </w:r>
    </w:p>
    <w:p w14:paraId="4CC4383A" w14:textId="77777777" w:rsidR="008358B6" w:rsidRPr="00357908" w:rsidRDefault="008358B6" w:rsidP="000B394A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elasiatki1jasnaakcent1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843"/>
        <w:gridCol w:w="8505"/>
      </w:tblGrid>
      <w:tr w:rsidR="008358B6" w:rsidRPr="00357908" w14:paraId="5EF17F7C" w14:textId="77777777" w:rsidTr="008358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noWrap/>
            <w:hideMark/>
          </w:tcPr>
          <w:p w14:paraId="1EADDE57" w14:textId="77777777" w:rsidR="008358B6" w:rsidRPr="00357908" w:rsidRDefault="008358B6" w:rsidP="000B394A">
            <w:pPr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Cecha</w:t>
            </w:r>
          </w:p>
        </w:tc>
        <w:tc>
          <w:tcPr>
            <w:tcW w:w="8505" w:type="dxa"/>
            <w:noWrap/>
            <w:hideMark/>
          </w:tcPr>
          <w:p w14:paraId="0F377E35" w14:textId="77777777" w:rsidR="008358B6" w:rsidRPr="00357908" w:rsidRDefault="008358B6" w:rsidP="000B39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Wymagania minimalne</w:t>
            </w:r>
          </w:p>
        </w:tc>
      </w:tr>
      <w:tr w:rsidR="008358B6" w:rsidRPr="00357908" w14:paraId="69A539FB" w14:textId="77777777" w:rsidTr="008358B6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1B495C8" w14:textId="77777777" w:rsidR="008358B6" w:rsidRPr="00357908" w:rsidRDefault="008358B6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Wymagania ogólne</w:t>
            </w:r>
          </w:p>
        </w:tc>
        <w:tc>
          <w:tcPr>
            <w:tcW w:w="8505" w:type="dxa"/>
          </w:tcPr>
          <w:p w14:paraId="37E2FC6A" w14:textId="77777777" w:rsidR="008358B6" w:rsidRPr="00357908" w:rsidRDefault="008358B6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System bezpieczeństwa realizuje wszystkie wymienione poniżej funkcje sieciowe i bezpieczeństwa niezależnie od dostawcy łącza. Poszczególne elementy wchodzące w skład systemu bezpieczeństwa mogą być zrealizowane w postaci osobnych, komercyjnych platform sprzętowych lub komercyjnych aplikacji instalowanych na platformach ogólnego przeznaczenia. W przypadku implementacji programowej muszą być zapewnione niezbędne platformy sprzętowe wraz z odpowiednio zabezpieczonym systemem operacyjnym.</w:t>
            </w:r>
          </w:p>
          <w:p w14:paraId="19FA3192" w14:textId="77777777" w:rsidR="008358B6" w:rsidRPr="00357908" w:rsidRDefault="008358B6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System realizujący funkcję Firewall zapewnia pracę w jednym z trzech trybów: Routera z funkcją NAT, transparentnym oraz monitorowania na porcie SPAN.</w:t>
            </w:r>
          </w:p>
          <w:p w14:paraId="2E4C7752" w14:textId="77777777" w:rsidR="008358B6" w:rsidRPr="00357908" w:rsidRDefault="008358B6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System umożliwia budowę minimum 2 oddzielnych (fizycznych lub logicznych) instancji systemów w zakresie: Routingu, Firewall’a, IPSec VPN, Antywirus, IPS, Kontroli Aplikacji. Powinna istnieć możliwość dedykowania co najmniej 4 administratorów do poszczególnych instancji systemu.</w:t>
            </w:r>
          </w:p>
          <w:p w14:paraId="468A50FE" w14:textId="77777777" w:rsidR="008358B6" w:rsidRPr="00357908" w:rsidRDefault="008358B6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System wspiera protokoły IPv4 oraz IPv6 w zakresie:</w:t>
            </w:r>
          </w:p>
          <w:p w14:paraId="4351EFB3" w14:textId="77777777" w:rsidR="008358B6" w:rsidRPr="00357908" w:rsidRDefault="008358B6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•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Firewall.</w:t>
            </w:r>
          </w:p>
          <w:p w14:paraId="39656E2F" w14:textId="77777777" w:rsidR="008358B6" w:rsidRPr="00357908" w:rsidRDefault="008358B6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•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Ochrony w warstwie aplikacji.</w:t>
            </w:r>
          </w:p>
          <w:p w14:paraId="0340D7D8" w14:textId="77777777" w:rsidR="008358B6" w:rsidRPr="00357908" w:rsidRDefault="008358B6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•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Protokołów routingu dynamicznego.</w:t>
            </w:r>
          </w:p>
        </w:tc>
      </w:tr>
      <w:tr w:rsidR="008358B6" w:rsidRPr="00357908" w14:paraId="3CA0E978" w14:textId="77777777" w:rsidTr="008358B6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2AE3B17" w14:textId="77777777" w:rsidR="008358B6" w:rsidRPr="00357908" w:rsidRDefault="008358B6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Redundancja, monitoring i wykrywanie awarii</w:t>
            </w:r>
          </w:p>
        </w:tc>
        <w:tc>
          <w:tcPr>
            <w:tcW w:w="8505" w:type="dxa"/>
          </w:tcPr>
          <w:p w14:paraId="711D90DB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W przypadku systemu pełniącego funkcje: Firewall, IPSec, Kontrola Aplikacji oraz IPS – istnieje możliwość łączenia w klaster Active-Active lub Active-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Passive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. W obu trybach system firewall zapewnia funkcję synchronizacji sesji.</w:t>
            </w:r>
          </w:p>
          <w:p w14:paraId="164B27E9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Monitoring i wykrywanie uszkodzenia elementów sprzętowych i programowych systemów zabezpieczeń oraz łączy sieciowych.</w:t>
            </w:r>
          </w:p>
          <w:p w14:paraId="5C46D3E9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Monitoring stanu realizowanych połączeń VPN.</w:t>
            </w:r>
          </w:p>
          <w:p w14:paraId="243C6950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System umożliwia agregację linków statyczną oraz w oparciu o protokół LACP. Ponadto daje możliwość tworzenia interfejsów redundantnych.</w:t>
            </w:r>
          </w:p>
        </w:tc>
      </w:tr>
      <w:tr w:rsidR="008358B6" w:rsidRPr="00357908" w14:paraId="032082E1" w14:textId="77777777" w:rsidTr="008358B6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4297E68" w14:textId="77777777" w:rsidR="008358B6" w:rsidRPr="00357908" w:rsidRDefault="008358B6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Interfejsy i zasilanie</w:t>
            </w:r>
          </w:p>
        </w:tc>
        <w:tc>
          <w:tcPr>
            <w:tcW w:w="8505" w:type="dxa"/>
          </w:tcPr>
          <w:p w14:paraId="46E31F24" w14:textId="64F6DD48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System realizujący funkcję Firewall dysponuje co najmniej  10</w:t>
            </w:r>
            <w:r w:rsidR="00A40A03"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14ADE" w:rsidRPr="00357908">
              <w:rPr>
                <w:rFonts w:ascii="Times New Roman" w:hAnsi="Times New Roman" w:cs="Times New Roman"/>
                <w:sz w:val="22"/>
                <w:szCs w:val="22"/>
              </w:rPr>
              <w:t>portami Gigabit Ethernet RJ-45 i 2 gniazdami SFP 1 Gbps.</w:t>
            </w:r>
          </w:p>
          <w:p w14:paraId="122E8D3C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System Firewall posiada wbudowany port konsoli szeregowej oraz gniazdo USB umożliwiające podłączenie modemu 3G/4G oraz instalacji oprogramowania z klucza USB.</w:t>
            </w:r>
          </w:p>
          <w:p w14:paraId="1EECF284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System jest wyposażony w zasilanie AC.</w:t>
            </w:r>
          </w:p>
        </w:tc>
      </w:tr>
      <w:tr w:rsidR="008358B6" w:rsidRPr="00357908" w14:paraId="097C616E" w14:textId="77777777" w:rsidTr="008358B6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1149ABD0" w14:textId="77777777" w:rsidR="008358B6" w:rsidRPr="00357908" w:rsidRDefault="008358B6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Parametry wydajnościowe</w:t>
            </w:r>
          </w:p>
        </w:tc>
        <w:tc>
          <w:tcPr>
            <w:tcW w:w="8505" w:type="dxa"/>
          </w:tcPr>
          <w:p w14:paraId="3B3D6CA2" w14:textId="60E901DA" w:rsidR="00014ADE" w:rsidRPr="00357908" w:rsidRDefault="00014ADE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W zakresie Firewall’a obsługa nie mniej niż 1.4 mln jednoczesnych połączeń oraz 45 tys. nowych połączeń na sekundę.</w:t>
            </w:r>
          </w:p>
          <w:p w14:paraId="3E7D63A9" w14:textId="77777777" w:rsidR="00014ADE" w:rsidRPr="00357908" w:rsidRDefault="00014ADE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Przepustowość Stateful Firewall: nie mniej niż 10 Gbps dla pakietów 512 B.</w:t>
            </w:r>
          </w:p>
          <w:p w14:paraId="6B6517F1" w14:textId="77777777" w:rsidR="00014ADE" w:rsidRPr="00357908" w:rsidRDefault="00014ADE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Przepustowość Firewall z włączoną funkcją Kontroli Aplikacji: nie mniej niż 1.7 Gbps.</w:t>
            </w:r>
          </w:p>
          <w:p w14:paraId="205478AE" w14:textId="77777777" w:rsidR="00014ADE" w:rsidRPr="00357908" w:rsidRDefault="00014ADE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Wydajność szyfrowania IPSec VPN protokołem AES z kluczem 128 nie mniej niż 6 Gbps.</w:t>
            </w:r>
          </w:p>
          <w:p w14:paraId="63A67610" w14:textId="77777777" w:rsidR="00014ADE" w:rsidRPr="00357908" w:rsidRDefault="00014ADE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Wydajność skanowania ruchu w celu ochrony przed atakami (zarówno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client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side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jak i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server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side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w ramach modułu IPS) dla ruchu o charakterystyce typowej dla środowiska 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przedsiębiorstw (np.: Enterprise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Traffic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Mix, Enterprise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Testing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Conditions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)- minimum 1.3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Gbps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040C2F43" w14:textId="77777777" w:rsidR="00014ADE" w:rsidRPr="00357908" w:rsidRDefault="00014ADE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Wydajność skanowania ruchu o charakterystyce typowej dla środowiska przedsiębiorstw (np.: Enterprise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Traffic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Mix, Enterprise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Testing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Conditions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) z włączonymi funkcjami: IPS, Application Control, Antywirus - minimum 900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Mbps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1DD82E7E" w14:textId="627DE2F2" w:rsidR="008358B6" w:rsidRPr="00357908" w:rsidRDefault="00014ADE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Wydajność systemu w zakresie inspekcji komunikacji szyfrowanej SSL dla ruchu http – minimum 700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Mbps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8358B6" w:rsidRPr="00357908" w14:paraId="6F5F182F" w14:textId="77777777" w:rsidTr="008358B6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3B281A5" w14:textId="77777777" w:rsidR="008358B6" w:rsidRPr="00357908" w:rsidRDefault="008358B6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Funkcje systemu bezpieczeństwa</w:t>
            </w:r>
          </w:p>
        </w:tc>
        <w:tc>
          <w:tcPr>
            <w:tcW w:w="8505" w:type="dxa"/>
          </w:tcPr>
          <w:p w14:paraId="722451C2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Kontrola dostępu - zapora ogniowa klasy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Stateful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Inspection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76616FDE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Kontrola Aplikacji.</w:t>
            </w:r>
          </w:p>
          <w:p w14:paraId="130D832C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Poufność transmisji danych - połączenia szyfrowane IPSec VPN oraz SSL VPN.</w:t>
            </w:r>
          </w:p>
          <w:p w14:paraId="086DFBA4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Ochrona przed malware.</w:t>
            </w:r>
          </w:p>
          <w:p w14:paraId="7E5B6F15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Ochrona przed atakami - Intrusion Prevention System.</w:t>
            </w:r>
          </w:p>
          <w:p w14:paraId="14C174CA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Kontrola stron WWW.</w:t>
            </w:r>
          </w:p>
          <w:p w14:paraId="5CAA1C1C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Kontrola zawartości poczty – Antyspam dla protokołów SMTP, POP3.</w:t>
            </w:r>
          </w:p>
          <w:p w14:paraId="050536E4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Zarządzanie pasmem (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QoS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Traffic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shaping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).</w:t>
            </w:r>
          </w:p>
          <w:p w14:paraId="34177EB4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Dwuskładnikowe uwierzytelnianie z wykorzystaniem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tokenów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sprzętowych lub programowych. Konieczne są co najmniej 2 tokeny sprzętowe lub programowe, które będą zastosowane do dwu-składnikowego uwierzytelnienia administratorów lub w ramach połączeń VPN typu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client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-to-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site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046489E0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Inspekcja (minimum: IPS) ruchu szyfrowanego protokołem SSL/TLS, minimum dla następujących typów ruchu: HTTP (w tym HTTP/2), SMTP, FTP, POP3.</w:t>
            </w:r>
          </w:p>
          <w:p w14:paraId="2009F89F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Funkcja lokalnego serwera DNS  z możliwością filtrowania zapytań DNS na lokalnym serwerze DNS jak i w ruchu przechodzącym przez system.</w:t>
            </w:r>
          </w:p>
          <w:p w14:paraId="39939F9D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Rozwiązanie posiada wbudowane mechanizmy automatyzacji polegające na wykonaniu określonej sekwencji akcji (takich jak zmiana konfiguracji, wysłanie powiadomień do administratora) po wystąpieniu wybranego zdarzenia (np. naruszenie polityki bezpieczeństwa).</w:t>
            </w:r>
          </w:p>
        </w:tc>
      </w:tr>
      <w:tr w:rsidR="008358B6" w:rsidRPr="00357908" w14:paraId="17F9757D" w14:textId="77777777" w:rsidTr="008358B6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2E2FAE39" w14:textId="77777777" w:rsidR="008358B6" w:rsidRPr="00357908" w:rsidRDefault="008358B6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Polityki, Firewall</w:t>
            </w:r>
          </w:p>
        </w:tc>
        <w:tc>
          <w:tcPr>
            <w:tcW w:w="8505" w:type="dxa"/>
          </w:tcPr>
          <w:p w14:paraId="763B90F4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Polityka Firewall uwzględnia: adresy IP, użytkowników, protokoły, usługi sieciowe, aplikacje lub zbiory aplikacji, reakcje zabezpieczeń, rejestrowanie zdarzeń.</w:t>
            </w:r>
          </w:p>
          <w:p w14:paraId="6634CF15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System realizuje translację adresów NAT: źródłowego i docelowego, translację PAT oraz:</w:t>
            </w:r>
          </w:p>
          <w:p w14:paraId="12F94EF2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•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Translację jeden do jeden oraz jeden do wielu.</w:t>
            </w:r>
          </w:p>
          <w:p w14:paraId="01564620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•</w:t>
            </w:r>
            <w:r w:rsidRPr="0035790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 xml:space="preserve">Dedykowany ALG (Application Level Gateway) dla protokołu SIP. </w:t>
            </w:r>
          </w:p>
          <w:p w14:paraId="65CCF38B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W ramach systemu istnieje możliwość tworzenia wydzielonych stref bezpieczeństwa np. DMZ, LAN, WAN.</w:t>
            </w:r>
          </w:p>
          <w:p w14:paraId="02A80500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Możliwość wykorzystania w polityce bezpieczeństwa zewnętrznych repozytoriów zawierających: kategorie URL, adresy IP.</w:t>
            </w:r>
          </w:p>
          <w:p w14:paraId="02D4865A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Polityka firewall umożliwia filtrowanie ruchu w zależności od kraju, do którego przypisane są adresy IP źródłowe lub docelowe.</w:t>
            </w:r>
          </w:p>
          <w:p w14:paraId="2E32EAC3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Możliwość ustawienia przedziału czasu, w którym dana reguła w politykach firewall jest aktywna.</w:t>
            </w:r>
          </w:p>
          <w:p w14:paraId="726510ED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Element systemu realizujący funkcję Firewall integruje się z następującymi rozwiązaniami SDN w celu dynamicznego pobierania informacji o zainstalowanych maszynach wirtualnych po to, aby użyć ich przy budowaniu polityk kontroli dostępu.</w:t>
            </w:r>
          </w:p>
          <w:p w14:paraId="2A474158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•</w:t>
            </w:r>
            <w:r w:rsidRPr="0035790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Amazon Web Services (AWS).</w:t>
            </w:r>
          </w:p>
          <w:p w14:paraId="0AA2A084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•</w:t>
            </w:r>
            <w:r w:rsidRPr="0035790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Microsoft Azure.</w:t>
            </w:r>
          </w:p>
          <w:p w14:paraId="1BF4AFBD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•</w:t>
            </w:r>
            <w:r w:rsidRPr="0035790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Cisco ACI.</w:t>
            </w:r>
          </w:p>
          <w:p w14:paraId="15069997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•</w:t>
            </w:r>
            <w:r w:rsidRPr="0035790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Google Cloud Platform (GCP).</w:t>
            </w:r>
          </w:p>
          <w:p w14:paraId="393EE49D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•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OpenStack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3CD51BB3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•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VMware NSX.</w:t>
            </w:r>
          </w:p>
          <w:p w14:paraId="56947280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•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Kubernetes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8358B6" w:rsidRPr="00357908" w14:paraId="20CA57AB" w14:textId="77777777" w:rsidTr="008358B6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81CFFD8" w14:textId="77777777" w:rsidR="008358B6" w:rsidRPr="00357908" w:rsidRDefault="008358B6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Połączenia VPN</w:t>
            </w:r>
          </w:p>
        </w:tc>
        <w:tc>
          <w:tcPr>
            <w:tcW w:w="8505" w:type="dxa"/>
          </w:tcPr>
          <w:p w14:paraId="6B8FED97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System umożliwia konfigurację połączeń typu IPSec VPN. W zakresie tej funkcji zapewnia:</w:t>
            </w:r>
          </w:p>
          <w:p w14:paraId="0B9A97D2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•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Wsparcie dla IKE v1 oraz v2.</w:t>
            </w:r>
          </w:p>
          <w:p w14:paraId="44BEFE5F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•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Obsługę szyfrowania protokołem minimum AES z kluczem  128 oraz 256 bitów w trybie pracy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Galois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Counter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Mode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(GCM).</w:t>
            </w:r>
          </w:p>
          <w:p w14:paraId="6E316D5B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•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Obsługa protokołu Diffie-Hellman  grup 19, 20.</w:t>
            </w:r>
          </w:p>
          <w:p w14:paraId="793D3D02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•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Wsparcie dla Pracy w topologii Hub and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Spoke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oraz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Mesh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3D5A66CB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•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Tworzenie połączeń typu Site-to-Site oraz Client-to-Site.</w:t>
            </w:r>
          </w:p>
          <w:p w14:paraId="50265755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•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Monitorowanie stanu tuneli VPN i stałego utrzymywania ich aktywności.</w:t>
            </w:r>
          </w:p>
          <w:p w14:paraId="69F12CB2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•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Możliwość wyboru tunelu przez protokoły: dynamicznego routingu (np. OSPF) oraz routingu statycznego.</w:t>
            </w:r>
          </w:p>
          <w:p w14:paraId="644C9A2E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•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Wsparcie dla następujących typów uwierzytelniania: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pre-shared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key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, certyfikat.</w:t>
            </w:r>
          </w:p>
          <w:p w14:paraId="69C3B7AA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•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Możliwość ustawienia maksymalnej liczby tuneli IPSec negocjowanych (nawiązywanych) jednocześnie w celu ochrony zasobów systemu.</w:t>
            </w:r>
          </w:p>
          <w:p w14:paraId="1469F69D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•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Możliwość monitorowania wybranego tunelu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IPSec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site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-to-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site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i w przypadku jego niedostępności automatycznego aktywowania zapasowego tunelu.</w:t>
            </w:r>
          </w:p>
          <w:p w14:paraId="40269032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•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Obsługę mechanizmów: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IPSec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NAT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Traversal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, DPD,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Xauth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2276999E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•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Mechanizm „Split tunneling” dla połączeń Client-to-Site.</w:t>
            </w:r>
          </w:p>
          <w:p w14:paraId="3AF018DE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System umożliwia konfigurację połączeń typu SSL VPN. W zakresie tej funkcji zapewnia:</w:t>
            </w:r>
          </w:p>
          <w:p w14:paraId="27F6C7A7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•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Pracę w trybie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Tunnel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z możliwością włączenia funkcji „Split tunneling” przy zastosowaniu dedykowanego klienta.</w:t>
            </w:r>
          </w:p>
          <w:p w14:paraId="415624B0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•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Producent rozwiązania posiada w ofercie oprogramowanie klienckie VPN, które umożliwia realizację połączeń IPSec VPN lub SSL VPN. Oprogramowanie klienckie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vpn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jest dostępne jako opcja i nie jest wymagane w implementacji.</w:t>
            </w:r>
          </w:p>
        </w:tc>
      </w:tr>
      <w:tr w:rsidR="008358B6" w:rsidRPr="00357908" w14:paraId="48C5A671" w14:textId="77777777" w:rsidTr="008358B6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D920BE6" w14:textId="77777777" w:rsidR="008358B6" w:rsidRPr="00357908" w:rsidRDefault="008358B6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Routing i obsługa łączy WAN</w:t>
            </w:r>
          </w:p>
        </w:tc>
        <w:tc>
          <w:tcPr>
            <w:tcW w:w="8505" w:type="dxa"/>
          </w:tcPr>
          <w:p w14:paraId="36DF22B0" w14:textId="77777777" w:rsidR="008358B6" w:rsidRPr="00357908" w:rsidRDefault="008358B6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W zakresie routingu rozwiązanie zapewnia obsługę:</w:t>
            </w:r>
          </w:p>
          <w:p w14:paraId="29429341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Routingu statycznego.</w:t>
            </w:r>
          </w:p>
          <w:p w14:paraId="7A17EBDE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Policy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Based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Routingu (w tym: wybór trasy w zależności od adresu źródłowego, protokołu sieciowego, oznaczeń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Type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of Service w nagłówkach IP).</w:t>
            </w:r>
          </w:p>
          <w:p w14:paraId="02C099E4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Protokołów dynamicznego routingu w oparciu o protokoły: RIPv2 (w tym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RIPng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), OSPF (w tym OSPFv3), BGP oraz PIM.</w:t>
            </w:r>
          </w:p>
          <w:p w14:paraId="31DC6538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Możliwość filtrowania tras rozgłaszanych w protokołach dynamicznego routingu.</w:t>
            </w:r>
          </w:p>
          <w:p w14:paraId="6F23E152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5.</w:t>
            </w:r>
            <w:r w:rsidRPr="0035790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 xml:space="preserve">ECMP (Equal cost multi-path) –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wybór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wielu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równoważnych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tras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tablicy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routingu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</w:p>
          <w:p w14:paraId="4E87FEAC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6.</w:t>
            </w:r>
            <w:r w:rsidRPr="0035790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BFD (Bidirectional Forwarding Detection).</w:t>
            </w:r>
          </w:p>
          <w:p w14:paraId="5241FE4D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Monitoringu dostępności wybranego adresu IP z danego interfejsu urządzenia i w przypadku jego niedostępności automatyczne usunięcie wybranych tras z tablicy routingu.</w:t>
            </w:r>
          </w:p>
        </w:tc>
      </w:tr>
      <w:tr w:rsidR="008358B6" w:rsidRPr="00357908" w14:paraId="08C0C5E9" w14:textId="77777777" w:rsidTr="008358B6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618F080D" w14:textId="77777777" w:rsidR="008358B6" w:rsidRPr="00357908" w:rsidRDefault="008358B6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Funkcje SD-WAN</w:t>
            </w:r>
          </w:p>
        </w:tc>
        <w:tc>
          <w:tcPr>
            <w:tcW w:w="8505" w:type="dxa"/>
          </w:tcPr>
          <w:p w14:paraId="4734D41B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System umożliwia wykorzystanie protokołów dynamicznego routingu przy konfiguracji równoważenia obciążenia do łączy WAN.</w:t>
            </w:r>
          </w:p>
          <w:p w14:paraId="50B9F38A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SD-WAN wspiera zarówno interfejsy fizyczne jak i wirtualne (w tym VLAN, IPSec).</w:t>
            </w:r>
          </w:p>
        </w:tc>
      </w:tr>
      <w:tr w:rsidR="008358B6" w:rsidRPr="00357908" w14:paraId="755FBBDF" w14:textId="77777777" w:rsidTr="008358B6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667527C6" w14:textId="77777777" w:rsidR="008358B6" w:rsidRPr="00357908" w:rsidRDefault="008358B6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Zarządzanie pasmem</w:t>
            </w:r>
          </w:p>
        </w:tc>
        <w:tc>
          <w:tcPr>
            <w:tcW w:w="8505" w:type="dxa"/>
          </w:tcPr>
          <w:p w14:paraId="3783D69C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System Firewall umożliwia zarządzanie pasmem poprzez określenie: maksymalnej i gwarantowanej ilości pasma, oznaczanie DSCP oraz wskazanie priorytetu ruchu.</w:t>
            </w:r>
          </w:p>
          <w:p w14:paraId="57CCE5ED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System daje możliwość określania pasma dla poszczególnych aplikacji.</w:t>
            </w:r>
          </w:p>
          <w:p w14:paraId="6A9DAB55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System pozwala zdefiniować pasmo dla wybranych użytkowników niezależnie od ich adresu IP.</w:t>
            </w:r>
          </w:p>
          <w:p w14:paraId="3DC2CDD8" w14:textId="77777777" w:rsidR="008358B6" w:rsidRPr="00357908" w:rsidRDefault="008358B6" w:rsidP="000B394A">
            <w:pPr>
              <w:ind w:left="456" w:hanging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System zapewnia możliwość zarządzania pasmem dla wybranych kategorii URL.</w:t>
            </w:r>
          </w:p>
        </w:tc>
      </w:tr>
      <w:tr w:rsidR="008358B6" w:rsidRPr="00357908" w14:paraId="171FF090" w14:textId="77777777" w:rsidTr="008358B6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4B74322" w14:textId="77777777" w:rsidR="008358B6" w:rsidRPr="00357908" w:rsidRDefault="008358B6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Ochrona przed malware</w:t>
            </w:r>
          </w:p>
        </w:tc>
        <w:tc>
          <w:tcPr>
            <w:tcW w:w="8505" w:type="dxa"/>
          </w:tcPr>
          <w:p w14:paraId="35976990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Silnik antywirusowy umożliwia skanowanie ruchu w obu kierunkach komunikacji dla protokołów działających na niestandardowych portach (np. FTP na porcie 2021).</w:t>
            </w:r>
          </w:p>
          <w:p w14:paraId="0CB976AF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Silnik antywirusowy zapewnia skanowanie następujących protokołów: HTTP, HTTPS, FTP, POP3, IMAP, SMTP, CIFS.</w:t>
            </w:r>
          </w:p>
          <w:p w14:paraId="420AC1FC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System umożliwia skanowanie archiwów, w tym co najmniej: Zip, RAR. W przypadku archiwów zagnieżdżonych istnieje możliwość określenia, ile zagnieżdżeń kompresji system będzie próbował zdekompresować w celu przeskanowania zawartości.</w:t>
            </w:r>
          </w:p>
          <w:p w14:paraId="31C0B30B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System umożliwia blokowanie i logowanie archiwów, które nie mogą zostać przeskanowane, ponieważ są zaszyfrowane, uszkodzone lub system nie wspiera inspekcji tego typu archiwów.</w:t>
            </w:r>
          </w:p>
          <w:p w14:paraId="48A1864F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System dysponuje sygnaturami do ochrony urządzeń mobilnych (co najmniej dla systemu operacyjnego Android).</w:t>
            </w:r>
          </w:p>
          <w:p w14:paraId="77AA7251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Baza sygnatur musi być aktualizowana automatycznie, zgodnie z harmonogramem definiowanym przez administratora.</w:t>
            </w:r>
          </w:p>
          <w:p w14:paraId="60F083A9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System współpracuje z dedykowaną platformą typu Sandbox lub usługą typu Sandbox realizowaną w chmurze. Konieczne jest zastosowanie platformy typu Sandbox wraz z niezbędnymi serwisami lub licencjami upoważniającymi do korzystania z usługi typu Sandbox w chmurze.</w:t>
            </w:r>
          </w:p>
          <w:p w14:paraId="05F7DC84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Możliwość wykorzystania silnika sztucznej inteligencji AI wytrenowanego przez laboratoria producenta.</w:t>
            </w:r>
          </w:p>
          <w:p w14:paraId="10D35992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19.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Możliwość uruchomienia ochrony przed malware dla wybranego zakresu ruchu.</w:t>
            </w:r>
          </w:p>
        </w:tc>
      </w:tr>
      <w:tr w:rsidR="008358B6" w:rsidRPr="00357908" w14:paraId="25BACED2" w14:textId="77777777" w:rsidTr="008358B6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3F5C7278" w14:textId="77777777" w:rsidR="008358B6" w:rsidRPr="00357908" w:rsidRDefault="008358B6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Ochrona przed atakami</w:t>
            </w:r>
          </w:p>
        </w:tc>
        <w:tc>
          <w:tcPr>
            <w:tcW w:w="8505" w:type="dxa"/>
          </w:tcPr>
          <w:p w14:paraId="58A03B3C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Ochrona IPS opiera się co najmniej na analizie sygnaturowej oraz na analizie anomalii w protokołach sieciowych.</w:t>
            </w:r>
          </w:p>
          <w:p w14:paraId="160D5E3E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System chroni przed atakami na aplikacje pracujące na niestandardowych portach.</w:t>
            </w:r>
          </w:p>
          <w:p w14:paraId="19E52427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Administrator systemu ma możliwość definiowania własnych wyjątków oraz własnych sygnatur.</w:t>
            </w:r>
          </w:p>
          <w:p w14:paraId="06A8A56B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System zapewnia wykrywanie anomalii protokołów i ruchu sieciowego, realizując tym samym podstawową ochronę przed atakami typu DoS oraz DDoS.</w:t>
            </w:r>
          </w:p>
          <w:p w14:paraId="0EDEA4A9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Mechanizmy ochrony dla aplikacji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Web’owych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na poziomie sygnaturowym (co najmniej ochrona przed: CSS, SQL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Injecton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, Trojany,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Exploity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, Roboty).</w:t>
            </w:r>
          </w:p>
          <w:p w14:paraId="0E5F9002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Wykrywanie i blokowanie komunikacji C&amp;C do sieci botnet.</w:t>
            </w:r>
          </w:p>
          <w:p w14:paraId="03246171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Możliwość uruchomienia ochrony przed atakami dla wybranych zakresów komunikacji sieciowej. Mechanizmy ochrony IPS nie mogą działać globalnie.</w:t>
            </w:r>
          </w:p>
        </w:tc>
      </w:tr>
      <w:tr w:rsidR="008358B6" w:rsidRPr="00357908" w14:paraId="2C108374" w14:textId="77777777" w:rsidTr="008358B6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A9D0C8F" w14:textId="77777777" w:rsidR="008358B6" w:rsidRPr="00357908" w:rsidRDefault="008358B6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Kontrola aplikacji</w:t>
            </w:r>
          </w:p>
        </w:tc>
        <w:tc>
          <w:tcPr>
            <w:tcW w:w="8505" w:type="dxa"/>
          </w:tcPr>
          <w:p w14:paraId="45F79241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Funkcja Kontroli Aplikacji umożliwia kontrolę ruchu na podstawie głębokiej analizy pakietów, nie bazując jedynie na wartościach portów TCP/UDP.</w:t>
            </w:r>
          </w:p>
          <w:p w14:paraId="45B2AC51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Baza Kontroli Aplikacji zawiera minimum 2000 sygnatur i jest aktualizowana automatycznie, zgodnie z harmonogramem definiowanym przez administratora.</w:t>
            </w:r>
          </w:p>
          <w:p w14:paraId="72897E0F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Aplikacje chmurowe (co najmniej: Facebook, Google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Docs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, Dropbox) są kontrolowane pod względem wykonywanych czynności, np.: pobieranie, wysyłanie plików. </w:t>
            </w:r>
          </w:p>
          <w:p w14:paraId="1FB5EF1A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Baza sygnatur zawiera kategorie aplikacji szczególnie istotne z punktu widzenia bezpieczeństwa: proxy, P2P.</w:t>
            </w:r>
          </w:p>
          <w:p w14:paraId="21A2706B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Administrator systemu ma możliwość definiowania wyjątków oraz własnych sygnatur.</w:t>
            </w:r>
          </w:p>
          <w:p w14:paraId="6FBF86A5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Istnieje możliwość blokowania aplikacji działających na niestandardowych portach (np. FTP na porcie 2021).</w:t>
            </w:r>
          </w:p>
          <w:p w14:paraId="219D569D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System daje możliwość określenia dopuszczalnych protokołów na danym porcie TCP/UDP i blokowania pozostałych protokołów korzystających z tego portu (np. dopuszczenie tylko HTTP na porcie 80).</w:t>
            </w:r>
          </w:p>
        </w:tc>
      </w:tr>
      <w:tr w:rsidR="008358B6" w:rsidRPr="00357908" w14:paraId="18D80174" w14:textId="77777777" w:rsidTr="008358B6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108FB862" w14:textId="77777777" w:rsidR="008358B6" w:rsidRPr="00357908" w:rsidRDefault="008358B6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Kontrola WWW</w:t>
            </w:r>
          </w:p>
        </w:tc>
        <w:tc>
          <w:tcPr>
            <w:tcW w:w="8505" w:type="dxa"/>
          </w:tcPr>
          <w:p w14:paraId="74A146C3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Moduł kontroli WWW korzysta z bazy zawierającej co najmniej 40 milionów adresów URL  pogrupowanych w kategorie tematyczne.</w:t>
            </w:r>
          </w:p>
          <w:p w14:paraId="6A24ABC3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W ramach filtra WWW są dostępne kategorie istotne z punktu widzenia bezpieczeństwa, jak: malware (lub inne będące źródłem złośliwego oprogramowania), phishing, spam, Dynamic DNS, proxy.</w:t>
            </w:r>
          </w:p>
          <w:p w14:paraId="1BDE3AAC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Filtr WWW dostarcza kategorii stron zabronionych prawem np.: Hazard.</w:t>
            </w:r>
          </w:p>
          <w:p w14:paraId="377DA25D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Administrator ma możliwość nadpisywania kategorii oraz tworzenia wyjątków – białe/czarne listy dla adresów URL.</w:t>
            </w:r>
          </w:p>
          <w:p w14:paraId="69CAA75E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Filtr WWW umożliwia statyczne dopuszczanie lub blokowanie ruchu do wybranych stron WWW, w tym pozwala definiować strony z zastosowaniem wyrażeń regularnych (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Regex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).</w:t>
            </w:r>
          </w:p>
          <w:p w14:paraId="1E83BC55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Filtr WWW daje możliwość wykonania akcji typu „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Warning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” – ostrzeżenie użytkownika wymagające od niego potwierdzenia przed otwarciem żądanej strony.</w:t>
            </w:r>
          </w:p>
          <w:p w14:paraId="3EDCD408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Funkcja Safe Search – przeciwdziałająca pojawieniu się niechcianych treści w wynikach wyszukiwarek takich jak: Google oraz Yahoo.</w:t>
            </w:r>
          </w:p>
          <w:p w14:paraId="38BF17DD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Administrator ma możliwość definiowania komunikatów zwracanych użytkownikowi dla różnych akcji podejmowanych przez moduł filtrowania WWW.</w:t>
            </w:r>
          </w:p>
          <w:p w14:paraId="160354C7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System pozwala określić, dla których kategorii URL lub wskazanych URL nie będzie realizowana inspekcja szyfrowanej komunikacji.</w:t>
            </w:r>
          </w:p>
        </w:tc>
      </w:tr>
      <w:tr w:rsidR="008358B6" w:rsidRPr="00357908" w14:paraId="25516919" w14:textId="77777777" w:rsidTr="008358B6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31BC8A98" w14:textId="77777777" w:rsidR="008358B6" w:rsidRPr="00357908" w:rsidRDefault="008358B6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Uwierzytelnianie użytkowników w ramach sesji</w:t>
            </w:r>
          </w:p>
        </w:tc>
        <w:tc>
          <w:tcPr>
            <w:tcW w:w="8505" w:type="dxa"/>
          </w:tcPr>
          <w:p w14:paraId="291DBFB0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System Firewall umożliwia weryfikację tożsamości użytkowników za pomocą:</w:t>
            </w:r>
          </w:p>
          <w:p w14:paraId="754F8DF0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•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Haseł statycznych i definicji użytkowników przechowywanych w lokalnej bazie systemu.</w:t>
            </w:r>
          </w:p>
          <w:p w14:paraId="08052993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•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Haseł statycznych i definicji użytkowników przechowywanych w bazach zgodnych z LDAP.</w:t>
            </w:r>
          </w:p>
          <w:p w14:paraId="4918A9C5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•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Haseł dynamicznych (RADIUS, RSA SecurID) w oparciu o zewnętrzne bazy danych. </w:t>
            </w:r>
          </w:p>
          <w:p w14:paraId="5235BB57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System daje możliwość zastosowania w tym procesie uwierzytelniania dwuskładnikowego.</w:t>
            </w:r>
          </w:p>
          <w:p w14:paraId="7260CB19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System umożliwia budowę architektury uwierzytelniania typu Single Sign On przy integracji ze środowiskiem Active Directory oraz zastosowanie innych mechanizmów: RADIUS, API lub SYSLOG w tym procesie.</w:t>
            </w:r>
          </w:p>
          <w:p w14:paraId="065C7DC4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Uwierzytelnianie w oparciu o protokół SAML w politykach bezpieczeństwa systemu dotyczących ruchu HTTP.</w:t>
            </w:r>
          </w:p>
        </w:tc>
      </w:tr>
      <w:tr w:rsidR="008358B6" w:rsidRPr="00357908" w14:paraId="350BF6D1" w14:textId="77777777" w:rsidTr="008358B6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3F39B3F5" w14:textId="77777777" w:rsidR="008358B6" w:rsidRPr="00357908" w:rsidRDefault="008358B6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Zarządzanie</w:t>
            </w:r>
          </w:p>
        </w:tc>
        <w:tc>
          <w:tcPr>
            <w:tcW w:w="8505" w:type="dxa"/>
          </w:tcPr>
          <w:p w14:paraId="23B9899C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Elementy systemu bezpieczeństwa muszą mieć możliwość zarządzania lokalnego z wykorzystaniem protokołów: HTTPS oraz SSH, jak i mogą współpracować z dedykowanymi platformami centralnego zarządzania i monitorowania.</w:t>
            </w:r>
          </w:p>
          <w:p w14:paraId="1FE0E3B7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Komunikacja elementów systemu zabezpieczeń z platformami centralnego zarządzania jest  realizowana z wykorzystaniem szyfrowanych protokołów.</w:t>
            </w:r>
          </w:p>
          <w:p w14:paraId="118CA63F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Istnieje możliwość włączenia mechanizmów uwierzytelniania dwu-składnikowego dla dostępu administracyjnego.</w:t>
            </w:r>
          </w:p>
          <w:p w14:paraId="5BD26C4B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System współpracuje z rozwiązaniami monitorowania poprzez protokoły SNMP w wersjach 2c, 3 oraz umożliwia przekazywanie statystyk ruchu za pomocą protokołów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Netflow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lub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sFlow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329155EF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System daje możliwość zarządzania przez systemy firm trzecich poprzez API, do którego producent udostępnia dokumentację.</w:t>
            </w:r>
          </w:p>
          <w:p w14:paraId="0C9A7FC1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Element systemu pełniący funkcję Firewall posiada wbudowane narzędzia diagnostyczne, przynajmniej: ping, traceroute, podglądu pakietów, monitorowanie procesowania sesji oraz stanu sesji firewall.</w:t>
            </w:r>
          </w:p>
          <w:p w14:paraId="1E23BEFF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Element systemu realizujący funkcję Firewall umożliwia wykonanie szeregu zmian przez administratora w CLI lub GUI, które nie zostaną zaimplementowane zanim nie zostaną zatwierdzone.</w:t>
            </w:r>
          </w:p>
          <w:p w14:paraId="5C62F2BC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Możliwość przypisywania administratorom praw do zarządzania określonymi częściami systemu (RBM).</w:t>
            </w:r>
          </w:p>
          <w:p w14:paraId="5B06F5AE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Możliwość zarządzania systemem tylko z określonych adresów źródłowych IP.</w:t>
            </w:r>
          </w:p>
        </w:tc>
      </w:tr>
      <w:tr w:rsidR="008358B6" w:rsidRPr="00357908" w14:paraId="536638B0" w14:textId="77777777" w:rsidTr="008358B6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27088B44" w14:textId="77777777" w:rsidR="008358B6" w:rsidRPr="00357908" w:rsidRDefault="008358B6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Logowanie</w:t>
            </w:r>
          </w:p>
        </w:tc>
        <w:tc>
          <w:tcPr>
            <w:tcW w:w="8505" w:type="dxa"/>
          </w:tcPr>
          <w:p w14:paraId="0DD3734B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Elementy systemu bezpieczeństwa realizują logowanie do aplikacji (logowania i raportowania) udostępnianej w chmurze, lub konieczne jest zastosowanie komercyjnego systemu logowania i raportowania w postaci odpowiednio zabezpieczonej, komercyjnej platformy sprzętowej lub programowej.</w:t>
            </w:r>
          </w:p>
          <w:p w14:paraId="03FAB195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W ramach logowania element systemu pełniący funkcję Firewall zapewnia przekazywanie danych o: zaakceptowanym ruchu, blokowanym ruchu, aktywności administratorów, zużyciu zasobów oraz stanie pracy systemu. Ponadto zapewnia możliwość jednoczesnego wysyłania logów do wielu serwerów logowania.</w:t>
            </w:r>
          </w:p>
          <w:p w14:paraId="437B507C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Logowanie obejmuje zdarzenia dotyczące wszystkich modułów sieciowych i bezpieczeństwa.</w:t>
            </w:r>
          </w:p>
          <w:p w14:paraId="6CCB7717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Możliwość włączenia logowania per reguła w polityce firewall.</w:t>
            </w:r>
          </w:p>
          <w:p w14:paraId="54A4A996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System zapewnia możliwość logowania do serwera SYSLOG.</w:t>
            </w:r>
          </w:p>
          <w:p w14:paraId="4C0ABFA0" w14:textId="77777777" w:rsidR="008358B6" w:rsidRPr="00357908" w:rsidRDefault="008358B6" w:rsidP="000B394A">
            <w:pPr>
              <w:ind w:left="598" w:hanging="5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ab/>
              <w:t>Przesyłanie SYSLOG do zewnętrznych systemów jest możliwe z wykorzystaniem protokołu TCP oraz szyfrowania SSL/TLS.</w:t>
            </w:r>
          </w:p>
        </w:tc>
      </w:tr>
      <w:tr w:rsidR="006E1457" w:rsidRPr="00357908" w14:paraId="586FC7A2" w14:textId="77777777" w:rsidTr="008358B6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2375B57A" w14:textId="539D3732" w:rsidR="006E1457" w:rsidRPr="00357908" w:rsidRDefault="006E1457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Szkolenie</w:t>
            </w:r>
          </w:p>
        </w:tc>
        <w:tc>
          <w:tcPr>
            <w:tcW w:w="8505" w:type="dxa"/>
          </w:tcPr>
          <w:p w14:paraId="75BFC183" w14:textId="045086B8" w:rsidR="006E1457" w:rsidRPr="00357908" w:rsidRDefault="006E1457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Wraz z urządzeniem należy zapewnić autoryzowane szkolenie producenta. Szkolenie musi umożliwiać otrzymanie certyfikatu z akredytacją producenta oferowanego rozwiązania</w:t>
            </w:r>
            <w:r w:rsidR="00B71F0B"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potwierdzający zdobyta wiedzę..</w:t>
            </w:r>
          </w:p>
        </w:tc>
      </w:tr>
      <w:tr w:rsidR="008358B6" w:rsidRPr="00357908" w14:paraId="61C1258D" w14:textId="77777777" w:rsidTr="008358B6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1399906E" w14:textId="77777777" w:rsidR="008358B6" w:rsidRPr="00357908" w:rsidRDefault="008358B6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Serwisy, licencje i gwarancja</w:t>
            </w:r>
          </w:p>
        </w:tc>
        <w:tc>
          <w:tcPr>
            <w:tcW w:w="8505" w:type="dxa"/>
          </w:tcPr>
          <w:p w14:paraId="0546934C" w14:textId="71A25EDF" w:rsidR="008358B6" w:rsidRPr="00357908" w:rsidRDefault="008358B6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Do korzystania z aktualnych baz funkcji ochronnych producenta i serwisów wymagane są licencje:  Kontrola Aplikacji, IPS, Antywirus (z uwzględnieniem sygnatur do ochrony urządzeń mobilnych - co najmniej dla systemu operacyjnego Android), Analiza typu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Sandbox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cloud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Antyspam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, Web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Filtering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, bazy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reputacyjne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adresów IP/domen na okres minimum </w:t>
            </w:r>
            <w:r w:rsidRPr="00357908"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  <w:t>12</w:t>
            </w:r>
            <w:r w:rsidRPr="00357908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 miesięcy</w:t>
            </w:r>
          </w:p>
          <w:p w14:paraId="7F8D7B16" w14:textId="77777777" w:rsidR="008358B6" w:rsidRPr="00357908" w:rsidRDefault="008358B6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B7E8D6" w14:textId="77777777" w:rsidR="008358B6" w:rsidRPr="00357908" w:rsidRDefault="008358B6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Gwarancja sprzętowa: System jest objęty serwisem gwarancyjnym producenta przez okres </w:t>
            </w:r>
            <w:r w:rsidRPr="00357908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12 miesięcy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, polegającym na naprawie lub wymianie urządzenia w przypadku jego wadliwości w trybie AHR (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advanced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hardware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replacement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). W ramach tego serwisu producent zapewnia dostęp do aktualizacji oprogramowania oraz wsparcie techniczne w trybie 24x7</w:t>
            </w:r>
          </w:p>
          <w:p w14:paraId="376C3EAC" w14:textId="77777777" w:rsidR="008358B6" w:rsidRPr="00357908" w:rsidRDefault="008358B6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262626"/>
                <w:sz w:val="22"/>
                <w:szCs w:val="22"/>
                <w:highlight w:val="yellow"/>
                <w:shd w:val="clear" w:color="auto" w:fill="FFFFFF"/>
              </w:rPr>
            </w:pPr>
          </w:p>
          <w:p w14:paraId="4EAD19BC" w14:textId="38368CA5" w:rsidR="008358B6" w:rsidRPr="00357908" w:rsidRDefault="008358B6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color w:val="262626"/>
                <w:sz w:val="22"/>
                <w:szCs w:val="22"/>
                <w:highlight w:val="yellow"/>
                <w:shd w:val="clear" w:color="auto" w:fill="FFFFFF"/>
              </w:rPr>
              <w:t>[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  <w:t xml:space="preserve">Uwaga! Kryterium punktowane za rozszerzenie gwarancji, wsparcia technicznego i aktualizacyjnego do </w:t>
            </w:r>
            <w:r w:rsidR="00D03CE4" w:rsidRPr="00357908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highlight w:val="yellow"/>
              </w:rPr>
              <w:t>60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  <w:t xml:space="preserve"> miesięcy</w:t>
            </w:r>
          </w:p>
        </w:tc>
      </w:tr>
    </w:tbl>
    <w:p w14:paraId="1093810D" w14:textId="05CA8C28" w:rsidR="001961E5" w:rsidRPr="00357908" w:rsidRDefault="001961E5" w:rsidP="000B394A">
      <w:pPr>
        <w:rPr>
          <w:rFonts w:ascii="Times New Roman" w:hAnsi="Times New Roman" w:cs="Times New Roman"/>
          <w:sz w:val="22"/>
          <w:szCs w:val="22"/>
          <w:lang w:eastAsia="zh-CN" w:bidi="hi-IN"/>
        </w:rPr>
      </w:pPr>
    </w:p>
    <w:p w14:paraId="1B65C96F" w14:textId="77777777" w:rsidR="00586CFB" w:rsidRPr="00357908" w:rsidRDefault="00586CFB" w:rsidP="000B394A">
      <w:pPr>
        <w:rPr>
          <w:rFonts w:ascii="Times New Roman" w:hAnsi="Times New Roman" w:cs="Times New Roman"/>
          <w:sz w:val="22"/>
          <w:szCs w:val="22"/>
          <w:lang w:eastAsia="zh-CN" w:bidi="hi-IN"/>
        </w:rPr>
      </w:pPr>
    </w:p>
    <w:p w14:paraId="2AED70AE" w14:textId="2ABB23FE" w:rsidR="00586CFB" w:rsidRPr="00357908" w:rsidRDefault="00586CFB" w:rsidP="000B394A">
      <w:pPr>
        <w:pStyle w:val="Nagwek1"/>
        <w:rPr>
          <w:rFonts w:ascii="Times New Roman" w:hAnsi="Times New Roman" w:cs="Times New Roman"/>
          <w:sz w:val="22"/>
          <w:szCs w:val="22"/>
        </w:rPr>
      </w:pPr>
      <w:bookmarkStart w:id="3" w:name="_Toc184565445"/>
      <w:r w:rsidRPr="00357908">
        <w:rPr>
          <w:rFonts w:ascii="Times New Roman" w:hAnsi="Times New Roman" w:cs="Times New Roman"/>
          <w:sz w:val="22"/>
          <w:szCs w:val="22"/>
        </w:rPr>
        <w:t>Serwer NAS klasy korporacyjnej</w:t>
      </w:r>
      <w:bookmarkEnd w:id="3"/>
    </w:p>
    <w:p w14:paraId="72089661" w14:textId="3EA55D7C" w:rsidR="00586CFB" w:rsidRPr="00357908" w:rsidRDefault="00586CFB" w:rsidP="000B394A">
      <w:pPr>
        <w:rPr>
          <w:rFonts w:ascii="Times New Roman" w:hAnsi="Times New Roman" w:cs="Times New Roman"/>
          <w:sz w:val="22"/>
          <w:szCs w:val="22"/>
          <w:lang w:eastAsia="zh-CN" w:bidi="hi-IN"/>
        </w:rPr>
      </w:pPr>
    </w:p>
    <w:p w14:paraId="49FF3F08" w14:textId="7B26EC44" w:rsidR="006110E9" w:rsidRPr="00357908" w:rsidRDefault="006110E9" w:rsidP="000B394A">
      <w:pPr>
        <w:ind w:firstLine="432"/>
        <w:jc w:val="both"/>
        <w:rPr>
          <w:rFonts w:ascii="Times New Roman" w:hAnsi="Times New Roman" w:cs="Times New Roman"/>
          <w:sz w:val="22"/>
          <w:szCs w:val="22"/>
          <w:lang w:eastAsia="zh-CN" w:bidi="hi-IN"/>
        </w:rPr>
      </w:pPr>
      <w:r w:rsidRPr="00357908">
        <w:rPr>
          <w:rFonts w:ascii="Times New Roman" w:hAnsi="Times New Roman" w:cs="Times New Roman"/>
          <w:sz w:val="22"/>
          <w:szCs w:val="22"/>
          <w:lang w:eastAsia="zh-CN" w:bidi="hi-IN"/>
        </w:rPr>
        <w:t>W ramach dostawy Wykonawca musi dostarczyć serwer NAS spełniający poniższe wymagania.</w:t>
      </w:r>
    </w:p>
    <w:p w14:paraId="69004260" w14:textId="5CA92120" w:rsidR="006110E9" w:rsidRPr="00357908" w:rsidRDefault="006110E9" w:rsidP="000B394A">
      <w:pPr>
        <w:rPr>
          <w:rFonts w:ascii="Times New Roman" w:hAnsi="Times New Roman" w:cs="Times New Roman"/>
          <w:sz w:val="22"/>
          <w:szCs w:val="22"/>
          <w:lang w:eastAsia="zh-CN" w:bidi="hi-IN"/>
        </w:rPr>
      </w:pPr>
      <w:r w:rsidRPr="00357908">
        <w:rPr>
          <w:rFonts w:ascii="Times New Roman" w:hAnsi="Times New Roman" w:cs="Times New Roman"/>
          <w:sz w:val="22"/>
          <w:szCs w:val="22"/>
          <w:lang w:eastAsia="zh-CN" w:bidi="hi-IN"/>
        </w:rPr>
        <w:t xml:space="preserve">Dostarczone rozwiązanie musi zostać zainstalowane w infrastrukturze Zamawiającego zgodnie z najlepszymi praktykami i wszystkimi niezbędnymi do wykonania konfiguracjami, które to wynikną w czasie jego implementacji na sieci Zamawiającego. </w:t>
      </w:r>
    </w:p>
    <w:p w14:paraId="43B0D53C" w14:textId="77777777" w:rsidR="00171887" w:rsidRPr="00357908" w:rsidRDefault="00171887" w:rsidP="000B394A">
      <w:pPr>
        <w:rPr>
          <w:rFonts w:ascii="Times New Roman" w:hAnsi="Times New Roman" w:cs="Times New Roman"/>
          <w:sz w:val="22"/>
          <w:szCs w:val="22"/>
          <w:lang w:eastAsia="zh-CN" w:bidi="hi-IN"/>
        </w:rPr>
      </w:pPr>
      <w:r w:rsidRPr="00357908">
        <w:rPr>
          <w:rFonts w:ascii="Times New Roman" w:hAnsi="Times New Roman" w:cs="Times New Roman"/>
          <w:sz w:val="22"/>
          <w:szCs w:val="22"/>
          <w:lang w:eastAsia="zh-CN" w:bidi="hi-IN"/>
        </w:rPr>
        <w:t xml:space="preserve">Standard komunikacji to minimum 10Gb wobec czego Wykonawca jest zobowiązany do dostarczenia wszelkich niezbędnych wkładek i </w:t>
      </w:r>
      <w:proofErr w:type="spellStart"/>
      <w:r w:rsidRPr="00357908">
        <w:rPr>
          <w:rFonts w:ascii="Times New Roman" w:hAnsi="Times New Roman" w:cs="Times New Roman"/>
          <w:sz w:val="22"/>
          <w:szCs w:val="22"/>
          <w:lang w:eastAsia="zh-CN" w:bidi="hi-IN"/>
        </w:rPr>
        <w:t>patchcordów</w:t>
      </w:r>
      <w:proofErr w:type="spellEnd"/>
      <w:r w:rsidRPr="00357908">
        <w:rPr>
          <w:rFonts w:ascii="Times New Roman" w:hAnsi="Times New Roman" w:cs="Times New Roman"/>
          <w:sz w:val="22"/>
          <w:szCs w:val="22"/>
          <w:lang w:eastAsia="zh-CN" w:bidi="hi-IN"/>
        </w:rPr>
        <w:t xml:space="preserve"> w celu połączenia do sieciowych urządzeń aktywnych.</w:t>
      </w:r>
    </w:p>
    <w:p w14:paraId="4E7DF8E7" w14:textId="77777777" w:rsidR="00586CFB" w:rsidRPr="00357908" w:rsidRDefault="00586CFB" w:rsidP="000B394A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elasiatki1jasnaakcent1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843"/>
        <w:gridCol w:w="8505"/>
      </w:tblGrid>
      <w:tr w:rsidR="00586CFB" w:rsidRPr="00357908" w14:paraId="31084B5D" w14:textId="77777777" w:rsidTr="00014A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noWrap/>
            <w:hideMark/>
          </w:tcPr>
          <w:p w14:paraId="51C2A4E3" w14:textId="77777777" w:rsidR="00586CFB" w:rsidRPr="00357908" w:rsidRDefault="00586CFB" w:rsidP="000B394A">
            <w:pPr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Cecha</w:t>
            </w:r>
          </w:p>
        </w:tc>
        <w:tc>
          <w:tcPr>
            <w:tcW w:w="8505" w:type="dxa"/>
            <w:noWrap/>
            <w:hideMark/>
          </w:tcPr>
          <w:p w14:paraId="333C72AE" w14:textId="77777777" w:rsidR="00586CFB" w:rsidRPr="00357908" w:rsidRDefault="00586CFB" w:rsidP="000B39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Wymagania minimalne</w:t>
            </w:r>
          </w:p>
        </w:tc>
      </w:tr>
      <w:tr w:rsidR="00014ADE" w:rsidRPr="00357908" w14:paraId="253EF3DD" w14:textId="77777777" w:rsidTr="00014ADE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263FF392" w14:textId="0D23456F" w:rsidR="00014ADE" w:rsidRPr="00357908" w:rsidRDefault="00014ADE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Procesor</w:t>
            </w:r>
          </w:p>
        </w:tc>
        <w:tc>
          <w:tcPr>
            <w:tcW w:w="8505" w:type="dxa"/>
            <w:vAlign w:val="center"/>
          </w:tcPr>
          <w:p w14:paraId="4BA57323" w14:textId="5F724111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Jeden 4-rdzeniowy/4-wątkowy Intel Celeron N5105/N5095 lub równoważny procesor osiągający w testach PassMark - CPU Mark wynik nie gorszy niż 4000 pkt.</w:t>
            </w: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</w: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W przypadku zaoferowania procesora równoważnego, wynik testu musi być opublikowany na stronie </w:t>
            </w:r>
            <w:hyperlink r:id="rId9" w:history="1">
              <w:r w:rsidRPr="00357908">
                <w:rPr>
                  <w:rStyle w:val="Hipercze"/>
                  <w:rFonts w:ascii="Times New Roman" w:eastAsia="Times New Roman" w:hAnsi="Times New Roman" w:cs="Times New Roman"/>
                  <w:color w:val="auto"/>
                  <w:sz w:val="22"/>
                  <w:szCs w:val="22"/>
                </w:rPr>
                <w:t>https://www.cpubenchmark.net</w:t>
              </w:r>
            </w:hyperlink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- 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357908">
              <w:rPr>
                <w:rFonts w:ascii="Times New Roman" w:eastAsia="Tahoma" w:hAnsi="Times New Roman" w:cs="Times New Roman"/>
                <w:b/>
                <w:bCs/>
                <w:color w:val="000000"/>
                <w:sz w:val="22"/>
                <w:szCs w:val="22"/>
              </w:rPr>
              <w:t>dołączyć do oferty wydruk jako przedmiotowy środek dowodowy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014ADE" w:rsidRPr="00357908" w14:paraId="5DF720F2" w14:textId="77777777" w:rsidTr="00014ADE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6F27B7D" w14:textId="6CB7D0A2" w:rsidR="00014ADE" w:rsidRPr="00357908" w:rsidRDefault="00014ADE" w:rsidP="000B394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Obudowa</w:t>
            </w:r>
          </w:p>
        </w:tc>
        <w:tc>
          <w:tcPr>
            <w:tcW w:w="8505" w:type="dxa"/>
            <w:vAlign w:val="center"/>
          </w:tcPr>
          <w:p w14:paraId="62CBC631" w14:textId="2070199A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Rack 2U o wymiarach nie większych niż, 90× 500 × 430 mm</w:t>
            </w:r>
          </w:p>
          <w:p w14:paraId="1F781CD7" w14:textId="3E7F4302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(wys. x szer. x gł.); w zestawie szyny wysuwane do instalacji w szafie RACK</w:t>
            </w:r>
          </w:p>
        </w:tc>
      </w:tr>
      <w:tr w:rsidR="00014ADE" w:rsidRPr="00357908" w14:paraId="364C0BAC" w14:textId="77777777" w:rsidTr="00014ADE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3840D983" w14:textId="1E68A82B" w:rsidR="00014ADE" w:rsidRPr="00357908" w:rsidRDefault="00014ADE" w:rsidP="000B394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Pamięć RAM</w:t>
            </w:r>
          </w:p>
        </w:tc>
        <w:tc>
          <w:tcPr>
            <w:tcW w:w="8505" w:type="dxa"/>
            <w:vAlign w:val="center"/>
          </w:tcPr>
          <w:p w14:paraId="30083591" w14:textId="39D17B8F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Minimum 8 GB</w:t>
            </w:r>
          </w:p>
          <w:p w14:paraId="2AE535C2" w14:textId="65472825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Urządzenie powinno obsługiwać do 16GB pamięci RAM. </w:t>
            </w:r>
          </w:p>
        </w:tc>
      </w:tr>
      <w:tr w:rsidR="00014ADE" w:rsidRPr="00357908" w14:paraId="7FF1EBC4" w14:textId="77777777" w:rsidTr="00014ADE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4B2D9994" w14:textId="7EEEA84C" w:rsidR="00014ADE" w:rsidRPr="00357908" w:rsidRDefault="00014ADE" w:rsidP="000B394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Ilość obsługiwanych dysków</w:t>
            </w:r>
          </w:p>
        </w:tc>
        <w:tc>
          <w:tcPr>
            <w:tcW w:w="8505" w:type="dxa"/>
            <w:vAlign w:val="center"/>
          </w:tcPr>
          <w:p w14:paraId="2F699124" w14:textId="24BB739B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12 dysków 3,5-calowych 3,5/2,5 SATA3</w:t>
            </w:r>
          </w:p>
        </w:tc>
      </w:tr>
      <w:tr w:rsidR="00014ADE" w:rsidRPr="00357908" w14:paraId="09978A36" w14:textId="77777777" w:rsidTr="00014ADE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BC7D5A4" w14:textId="159DE288" w:rsidR="00014ADE" w:rsidRPr="00357908" w:rsidRDefault="00014ADE" w:rsidP="000B394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Ilość zainstalowanych dysków</w:t>
            </w:r>
          </w:p>
        </w:tc>
        <w:tc>
          <w:tcPr>
            <w:tcW w:w="8505" w:type="dxa"/>
            <w:vAlign w:val="center"/>
          </w:tcPr>
          <w:p w14:paraId="6B3944CD" w14:textId="77777777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Zainstalowane najmniej 12 dysk HDD o pojemności 4TB znajdujących się na liście zgodności serwera; dyski przeznaczone do pracy 24/7</w:t>
            </w:r>
          </w:p>
          <w:p w14:paraId="1C5BD217" w14:textId="03F9B486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Dodatkowo należy dostarczyć 1 dysk zapasowy</w:t>
            </w:r>
          </w:p>
        </w:tc>
      </w:tr>
      <w:tr w:rsidR="00014ADE" w:rsidRPr="00357908" w14:paraId="1BECD9D0" w14:textId="77777777" w:rsidTr="00014ADE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1910E844" w14:textId="686CCA37" w:rsidR="00014ADE" w:rsidRPr="00357908" w:rsidRDefault="00014ADE" w:rsidP="000B394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Interfejsy sieciowe</w:t>
            </w:r>
          </w:p>
        </w:tc>
        <w:tc>
          <w:tcPr>
            <w:tcW w:w="8505" w:type="dxa"/>
            <w:vAlign w:val="center"/>
          </w:tcPr>
          <w:p w14:paraId="30968F07" w14:textId="77777777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 xml:space="preserve">2 porty 2,5Gigabit </w:t>
            </w:r>
            <w:proofErr w:type="spellStart"/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sieci</w:t>
            </w:r>
            <w:proofErr w:type="spellEnd"/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 xml:space="preserve"> Ethernet (RJ45)</w:t>
            </w:r>
          </w:p>
          <w:p w14:paraId="38AB3A6A" w14:textId="1AF9BA5D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2 porty 10GbE SFP+ - zezwala się na użycie 2 portowej karty PCIe z listy zgodności serwera NAS</w:t>
            </w:r>
          </w:p>
        </w:tc>
      </w:tr>
      <w:tr w:rsidR="00014ADE" w:rsidRPr="00357908" w14:paraId="4DD06381" w14:textId="77777777" w:rsidTr="00014ADE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D3F56A4" w14:textId="4E8632D1" w:rsidR="00014ADE" w:rsidRPr="00357908" w:rsidRDefault="00014ADE" w:rsidP="000B394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Porty</w:t>
            </w:r>
          </w:p>
        </w:tc>
        <w:tc>
          <w:tcPr>
            <w:tcW w:w="8505" w:type="dxa"/>
            <w:vAlign w:val="center"/>
          </w:tcPr>
          <w:p w14:paraId="0D585C70" w14:textId="77777777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2 gniazda typu A USB 2.0</w:t>
            </w:r>
          </w:p>
          <w:p w14:paraId="11DEE65E" w14:textId="77777777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 gniazda typu A USB 3.2 Gen 2 10 </w:t>
            </w:r>
            <w:proofErr w:type="spellStart"/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Gb</w:t>
            </w:r>
            <w:proofErr w:type="spellEnd"/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/s</w:t>
            </w:r>
          </w:p>
          <w:p w14:paraId="01EBCAD1" w14:textId="5DAB2DA9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1 gniazdo HDMI 1.4b</w:t>
            </w:r>
          </w:p>
        </w:tc>
      </w:tr>
      <w:tr w:rsidR="00014ADE" w:rsidRPr="00357908" w14:paraId="1319D0A5" w14:textId="77777777" w:rsidTr="00014ADE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1E48E21" w14:textId="6065F8B2" w:rsidR="00014ADE" w:rsidRPr="00357908" w:rsidRDefault="00014ADE" w:rsidP="000B394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Porty PCIe</w:t>
            </w:r>
          </w:p>
        </w:tc>
        <w:tc>
          <w:tcPr>
            <w:tcW w:w="8505" w:type="dxa"/>
            <w:vAlign w:val="center"/>
          </w:tcPr>
          <w:p w14:paraId="482D7622" w14:textId="076969B6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Min. 1 gniazdo Gen3 x2</w:t>
            </w:r>
          </w:p>
        </w:tc>
      </w:tr>
      <w:tr w:rsidR="00014ADE" w:rsidRPr="00357908" w14:paraId="1B266E08" w14:textId="77777777" w:rsidTr="00014ADE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1A71ADF6" w14:textId="2C57DF75" w:rsidR="00014ADE" w:rsidRPr="00357908" w:rsidRDefault="00014ADE" w:rsidP="000B394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Wskaźniki LED</w:t>
            </w:r>
          </w:p>
        </w:tc>
        <w:tc>
          <w:tcPr>
            <w:tcW w:w="8505" w:type="dxa"/>
            <w:vAlign w:val="center"/>
          </w:tcPr>
          <w:p w14:paraId="162B6DF8" w14:textId="422447F9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Dyski, stan, LAN, stan portów rozszerzenia pamięci masowej</w:t>
            </w:r>
          </w:p>
        </w:tc>
      </w:tr>
      <w:tr w:rsidR="00014ADE" w:rsidRPr="00357908" w14:paraId="30B3F426" w14:textId="77777777" w:rsidTr="00014ADE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2ABD26D6" w14:textId="02AA314C" w:rsidR="00014ADE" w:rsidRPr="00357908" w:rsidRDefault="00014ADE" w:rsidP="000B394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Obsługa RAID</w:t>
            </w:r>
          </w:p>
        </w:tc>
        <w:tc>
          <w:tcPr>
            <w:tcW w:w="8505" w:type="dxa"/>
            <w:vAlign w:val="center"/>
          </w:tcPr>
          <w:p w14:paraId="3587AAE5" w14:textId="5631DBC4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RAID 0, 1, 5, 6, 10, 50, 60</w:t>
            </w:r>
          </w:p>
        </w:tc>
      </w:tr>
      <w:tr w:rsidR="00014ADE" w:rsidRPr="00357908" w14:paraId="7A2D7101" w14:textId="77777777" w:rsidTr="00014ADE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1AD591D3" w14:textId="3C552388" w:rsidR="00014ADE" w:rsidRPr="00357908" w:rsidRDefault="00014ADE" w:rsidP="000B394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Funkcje RAID</w:t>
            </w:r>
          </w:p>
        </w:tc>
        <w:tc>
          <w:tcPr>
            <w:tcW w:w="8505" w:type="dxa"/>
            <w:vAlign w:val="center"/>
          </w:tcPr>
          <w:p w14:paraId="0E47F923" w14:textId="2940EF1A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Dodanie grupy RAID do puli magazynu, wymiana wszystkich dysków w danej grupie RAID na większe, podłączanie jednostek rozszerzających JBOD.</w:t>
            </w:r>
          </w:p>
        </w:tc>
      </w:tr>
      <w:tr w:rsidR="00014ADE" w:rsidRPr="00357908" w14:paraId="056D8356" w14:textId="77777777" w:rsidTr="00014ADE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51B0650" w14:textId="555439C8" w:rsidR="00014ADE" w:rsidRPr="00357908" w:rsidRDefault="00014ADE" w:rsidP="000B394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Szyfrowanie</w:t>
            </w:r>
          </w:p>
        </w:tc>
        <w:tc>
          <w:tcPr>
            <w:tcW w:w="8505" w:type="dxa"/>
            <w:vAlign w:val="center"/>
          </w:tcPr>
          <w:p w14:paraId="28CE17A3" w14:textId="1B3988B2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256-bitowe szyfrowanie AES wolumenów i folderów współdzielonych</w:t>
            </w:r>
          </w:p>
        </w:tc>
      </w:tr>
      <w:tr w:rsidR="00014ADE" w:rsidRPr="00357908" w14:paraId="2ED5D815" w14:textId="77777777" w:rsidTr="00014ADE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269A1C54" w14:textId="5CCF761E" w:rsidR="00014ADE" w:rsidRPr="00357908" w:rsidRDefault="00014ADE" w:rsidP="000B394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Stacja monitoringu</w:t>
            </w:r>
          </w:p>
        </w:tc>
        <w:tc>
          <w:tcPr>
            <w:tcW w:w="8505" w:type="dxa"/>
            <w:vAlign w:val="center"/>
          </w:tcPr>
          <w:p w14:paraId="013D7C4A" w14:textId="1DF35619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Tak, w standardzie 8 darmowych licencji na podłączenie kamer.</w:t>
            </w:r>
          </w:p>
        </w:tc>
      </w:tr>
      <w:tr w:rsidR="00014ADE" w:rsidRPr="00357908" w14:paraId="3D0A62A4" w14:textId="77777777" w:rsidTr="00014ADE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595DD34" w14:textId="5276F00A" w:rsidR="00014ADE" w:rsidRPr="00357908" w:rsidRDefault="00014ADE" w:rsidP="000B394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Protokoły</w:t>
            </w:r>
          </w:p>
        </w:tc>
        <w:tc>
          <w:tcPr>
            <w:tcW w:w="8505" w:type="dxa"/>
            <w:vAlign w:val="center"/>
          </w:tcPr>
          <w:p w14:paraId="7153F5D2" w14:textId="37E38DE5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CIFS, AFP, NFS, FTP, </w:t>
            </w:r>
            <w:proofErr w:type="spellStart"/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WebDAV</w:t>
            </w:r>
            <w:proofErr w:type="spellEnd"/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iSCSI</w:t>
            </w:r>
            <w:proofErr w:type="spellEnd"/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, FC, Telnet, SSH, SNMP</w:t>
            </w:r>
          </w:p>
        </w:tc>
      </w:tr>
      <w:tr w:rsidR="00014ADE" w:rsidRPr="00357908" w14:paraId="0CC681A8" w14:textId="77777777" w:rsidTr="00014ADE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6E56EEED" w14:textId="3668CDEB" w:rsidR="00014ADE" w:rsidRPr="00357908" w:rsidRDefault="00014ADE" w:rsidP="000B394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Usługi</w:t>
            </w:r>
          </w:p>
        </w:tc>
        <w:tc>
          <w:tcPr>
            <w:tcW w:w="8505" w:type="dxa"/>
            <w:vAlign w:val="center"/>
          </w:tcPr>
          <w:p w14:paraId="6DB07993" w14:textId="77777777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Stacja monitoringu</w:t>
            </w:r>
          </w:p>
          <w:p w14:paraId="2634E800" w14:textId="77777777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Windows ACL</w:t>
            </w:r>
          </w:p>
          <w:p w14:paraId="56B51B8B" w14:textId="77777777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Integracja w Windows ADS</w:t>
            </w:r>
          </w:p>
          <w:p w14:paraId="7CEE91A3" w14:textId="77777777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Serwer WWW</w:t>
            </w:r>
          </w:p>
          <w:p w14:paraId="67561ADD" w14:textId="77777777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Serwer plików</w:t>
            </w:r>
          </w:p>
          <w:p w14:paraId="6D518BD7" w14:textId="77777777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Manager plików przez WWW</w:t>
            </w:r>
          </w:p>
          <w:p w14:paraId="6C6EA519" w14:textId="77777777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Replikacja w czasie rzeczywistym</w:t>
            </w:r>
          </w:p>
          <w:p w14:paraId="6BC0A2CB" w14:textId="77777777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Serwer RADIUS</w:t>
            </w:r>
          </w:p>
          <w:p w14:paraId="5832498B" w14:textId="77777777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Klient LDAP</w:t>
            </w:r>
          </w:p>
          <w:p w14:paraId="1C3C46D2" w14:textId="77777777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Serwer </w:t>
            </w:r>
            <w:proofErr w:type="spellStart"/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Syslog</w:t>
            </w:r>
            <w:proofErr w:type="spellEnd"/>
          </w:p>
          <w:p w14:paraId="4F759A4A" w14:textId="77777777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Możliwość uruchomienia kontenerów LXC/LXD</w:t>
            </w:r>
          </w:p>
          <w:p w14:paraId="1818DC42" w14:textId="6DACE4F8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Możliwość uruchomienia maszyn wirtualnych z systemem Windows i Linux</w:t>
            </w:r>
          </w:p>
        </w:tc>
      </w:tr>
      <w:tr w:rsidR="00014ADE" w:rsidRPr="00357908" w14:paraId="6BA38D8A" w14:textId="77777777" w:rsidTr="00014ADE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91A974B" w14:textId="7C79E0D0" w:rsidR="00014ADE" w:rsidRPr="00357908" w:rsidRDefault="00014ADE" w:rsidP="000B394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Zarządzanie dyskami</w:t>
            </w:r>
          </w:p>
        </w:tc>
        <w:tc>
          <w:tcPr>
            <w:tcW w:w="8505" w:type="dxa"/>
            <w:vAlign w:val="center"/>
          </w:tcPr>
          <w:p w14:paraId="0C2B13CE" w14:textId="6AB28B2A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SMART, sprawdzanie złych sektorów.</w:t>
            </w:r>
          </w:p>
        </w:tc>
      </w:tr>
      <w:tr w:rsidR="00014ADE" w:rsidRPr="00357908" w14:paraId="49F20993" w14:textId="77777777" w:rsidTr="00014ADE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1F4AFEB3" w14:textId="6566300E" w:rsidR="00014ADE" w:rsidRPr="00357908" w:rsidRDefault="00014ADE" w:rsidP="000B394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Język GUI</w:t>
            </w:r>
          </w:p>
        </w:tc>
        <w:tc>
          <w:tcPr>
            <w:tcW w:w="8505" w:type="dxa"/>
            <w:vAlign w:val="center"/>
          </w:tcPr>
          <w:p w14:paraId="1B19DAF8" w14:textId="1C4E7942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Polski</w:t>
            </w:r>
          </w:p>
        </w:tc>
      </w:tr>
      <w:tr w:rsidR="00014ADE" w:rsidRPr="00357908" w14:paraId="5572D8AF" w14:textId="77777777" w:rsidTr="00014ADE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2E4C033" w14:textId="31EFA09E" w:rsidR="00014ADE" w:rsidRPr="00357908" w:rsidRDefault="00014ADE" w:rsidP="000B394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System plików</w:t>
            </w:r>
          </w:p>
        </w:tc>
        <w:tc>
          <w:tcPr>
            <w:tcW w:w="8505" w:type="dxa"/>
            <w:vAlign w:val="center"/>
          </w:tcPr>
          <w:p w14:paraId="4CAE4AA7" w14:textId="50F1AE94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Dyski wewnętrzne EXT4. Dyski zewnętrzne EXT3, EXT4, NTFS, FAT32, HFS+</w:t>
            </w:r>
          </w:p>
        </w:tc>
      </w:tr>
      <w:tr w:rsidR="00014ADE" w:rsidRPr="00357908" w14:paraId="2385F10D" w14:textId="77777777" w:rsidTr="00014ADE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2C0ADBAA" w14:textId="647D501E" w:rsidR="00014ADE" w:rsidRPr="00357908" w:rsidRDefault="00014ADE" w:rsidP="000B394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iSCSI</w:t>
            </w:r>
            <w:proofErr w:type="spellEnd"/>
          </w:p>
        </w:tc>
        <w:tc>
          <w:tcPr>
            <w:tcW w:w="8505" w:type="dxa"/>
            <w:vAlign w:val="center"/>
          </w:tcPr>
          <w:p w14:paraId="3799D4D0" w14:textId="36778B48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Obsługa</w:t>
            </w:r>
            <w:proofErr w:type="spellEnd"/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 xml:space="preserve"> MPIO, MC/S </w:t>
            </w:r>
            <w:proofErr w:type="spellStart"/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i</w:t>
            </w:r>
            <w:proofErr w:type="spellEnd"/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 xml:space="preserve"> SPC-3 Persistent Reservation</w:t>
            </w:r>
          </w:p>
        </w:tc>
      </w:tr>
      <w:tr w:rsidR="00014ADE" w:rsidRPr="00357908" w14:paraId="086F33DA" w14:textId="77777777" w:rsidTr="00014ADE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0895CC4" w14:textId="2D24D9E9" w:rsidR="00014ADE" w:rsidRPr="00357908" w:rsidRDefault="00014ADE" w:rsidP="000B394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Liczba kont użytkowników</w:t>
            </w:r>
          </w:p>
        </w:tc>
        <w:tc>
          <w:tcPr>
            <w:tcW w:w="8505" w:type="dxa"/>
            <w:vAlign w:val="center"/>
          </w:tcPr>
          <w:p w14:paraId="40B8B11B" w14:textId="30FAA1A3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Min. 4096</w:t>
            </w:r>
          </w:p>
        </w:tc>
      </w:tr>
      <w:tr w:rsidR="00014ADE" w:rsidRPr="00357908" w14:paraId="75AB5DDD" w14:textId="77777777" w:rsidTr="00014ADE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6EB7EF2F" w14:textId="4A3CEB75" w:rsidR="00014ADE" w:rsidRPr="00357908" w:rsidRDefault="00014ADE" w:rsidP="000B394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Liczba grup</w:t>
            </w:r>
          </w:p>
        </w:tc>
        <w:tc>
          <w:tcPr>
            <w:tcW w:w="8505" w:type="dxa"/>
            <w:vAlign w:val="center"/>
          </w:tcPr>
          <w:p w14:paraId="215FDCEE" w14:textId="1A06CAE6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Min. 512</w:t>
            </w:r>
          </w:p>
        </w:tc>
      </w:tr>
      <w:tr w:rsidR="00014ADE" w:rsidRPr="00357908" w14:paraId="4317FBA4" w14:textId="77777777" w:rsidTr="00014ADE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29D2D4F" w14:textId="0A1DA197" w:rsidR="00014ADE" w:rsidRPr="00357908" w:rsidRDefault="00014ADE" w:rsidP="000B394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Liczba udziałów</w:t>
            </w:r>
          </w:p>
        </w:tc>
        <w:tc>
          <w:tcPr>
            <w:tcW w:w="8505" w:type="dxa"/>
            <w:vAlign w:val="center"/>
          </w:tcPr>
          <w:p w14:paraId="62DFE9C4" w14:textId="11A2968D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Min. 512</w:t>
            </w:r>
          </w:p>
        </w:tc>
      </w:tr>
      <w:tr w:rsidR="00014ADE" w:rsidRPr="00357908" w14:paraId="6BFD095A" w14:textId="77777777" w:rsidTr="00014ADE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60AA1B83" w14:textId="655CA306" w:rsidR="00014ADE" w:rsidRPr="00357908" w:rsidRDefault="00014ADE" w:rsidP="000B394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Max ilość połączeń (CIFS)</w:t>
            </w:r>
          </w:p>
        </w:tc>
        <w:tc>
          <w:tcPr>
            <w:tcW w:w="8505" w:type="dxa"/>
            <w:vAlign w:val="center"/>
          </w:tcPr>
          <w:p w14:paraId="78EE609B" w14:textId="25764D28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Min. 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</w:tr>
      <w:tr w:rsidR="00014ADE" w:rsidRPr="00357908" w14:paraId="26EBE671" w14:textId="77777777" w:rsidTr="00014ADE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4B43D9A6" w14:textId="42F44F52" w:rsidR="00014ADE" w:rsidRPr="00357908" w:rsidRDefault="00014ADE" w:rsidP="000B394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Zasilanie</w:t>
            </w:r>
          </w:p>
        </w:tc>
        <w:tc>
          <w:tcPr>
            <w:tcW w:w="8505" w:type="dxa"/>
            <w:vAlign w:val="center"/>
          </w:tcPr>
          <w:p w14:paraId="050188DB" w14:textId="5B2B2EAB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Max 2x 300W, 100–240 V</w:t>
            </w:r>
          </w:p>
        </w:tc>
      </w:tr>
      <w:tr w:rsidR="00014ADE" w:rsidRPr="00357908" w14:paraId="018CF4EA" w14:textId="77777777" w:rsidTr="00014ADE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29D00292" w14:textId="179C70E1" w:rsidR="00014ADE" w:rsidRPr="00357908" w:rsidRDefault="00014ADE" w:rsidP="000B394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Wentylatory</w:t>
            </w:r>
          </w:p>
        </w:tc>
        <w:tc>
          <w:tcPr>
            <w:tcW w:w="8505" w:type="dxa"/>
            <w:vAlign w:val="center"/>
          </w:tcPr>
          <w:p w14:paraId="2BFF7089" w14:textId="67A3203C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2 x 80mm, 12VDC</w:t>
            </w:r>
          </w:p>
        </w:tc>
      </w:tr>
      <w:tr w:rsidR="00014ADE" w:rsidRPr="00357908" w14:paraId="3B9558E6" w14:textId="77777777" w:rsidTr="00014ADE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4827A769" w14:textId="6B8034C9" w:rsidR="00014ADE" w:rsidRPr="00357908" w:rsidRDefault="00014ADE" w:rsidP="000B394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UPS</w:t>
            </w:r>
          </w:p>
        </w:tc>
        <w:tc>
          <w:tcPr>
            <w:tcW w:w="8505" w:type="dxa"/>
            <w:vAlign w:val="center"/>
          </w:tcPr>
          <w:p w14:paraId="344E5165" w14:textId="3075FCEE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Obsługa sieciowych awaryjnych zasilaczy UPS.</w:t>
            </w:r>
          </w:p>
        </w:tc>
      </w:tr>
      <w:tr w:rsidR="00014ADE" w:rsidRPr="00357908" w14:paraId="1A119564" w14:textId="77777777" w:rsidTr="00014ADE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99AAF8C" w14:textId="77777777" w:rsidR="00014ADE" w:rsidRPr="00357908" w:rsidRDefault="00014ADE" w:rsidP="000B394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Gwarancja i serwis</w:t>
            </w:r>
          </w:p>
        </w:tc>
        <w:tc>
          <w:tcPr>
            <w:tcW w:w="8505" w:type="dxa"/>
          </w:tcPr>
          <w:p w14:paraId="6FD94754" w14:textId="7B062A44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Minimum</w:t>
            </w:r>
            <w:r w:rsidRPr="00357908"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yellow"/>
              </w:rPr>
              <w:t xml:space="preserve"> 12</w:t>
            </w: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 xml:space="preserve"> miesięcy gwarancji</w:t>
            </w: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na NAS realizowanej w trybie NBD </w:t>
            </w:r>
            <w:proofErr w:type="spellStart"/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>Onsite</w:t>
            </w:r>
            <w:proofErr w:type="spellEnd"/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przez producenta serwera NAS</w:t>
            </w:r>
          </w:p>
          <w:p w14:paraId="71689C49" w14:textId="77777777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E4D6467" w14:textId="4741DAE3" w:rsidR="00014ADE" w:rsidRPr="00357908" w:rsidRDefault="00014ADE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color w:val="262626"/>
                <w:sz w:val="22"/>
                <w:szCs w:val="22"/>
                <w:highlight w:val="yellow"/>
                <w:shd w:val="clear" w:color="auto" w:fill="FFFFFF"/>
              </w:rPr>
              <w:t>[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  <w:t xml:space="preserve">Uwaga! Kryterium punktowane za rozszerzenie gwarancji, wsparcia technicznego i aktualizacyjnego do </w:t>
            </w:r>
            <w:r w:rsidRPr="00357908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highlight w:val="yellow"/>
              </w:rPr>
              <w:t>36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  <w:t xml:space="preserve"> miesięcy</w:t>
            </w:r>
          </w:p>
        </w:tc>
      </w:tr>
    </w:tbl>
    <w:p w14:paraId="5359F967" w14:textId="77777777" w:rsidR="000B394A" w:rsidRPr="00357908" w:rsidRDefault="000B394A" w:rsidP="000B394A">
      <w:pPr>
        <w:pStyle w:val="Nagwek1"/>
        <w:numPr>
          <w:ilvl w:val="0"/>
          <w:numId w:val="0"/>
        </w:numPr>
        <w:rPr>
          <w:rFonts w:ascii="Times New Roman" w:hAnsi="Times New Roman" w:cs="Times New Roman"/>
          <w:b/>
          <w:sz w:val="22"/>
          <w:szCs w:val="22"/>
        </w:rPr>
      </w:pPr>
      <w:bookmarkStart w:id="4" w:name="_Toc184565446"/>
    </w:p>
    <w:p w14:paraId="2A6B3750" w14:textId="77777777" w:rsidR="000B394A" w:rsidRPr="00357908" w:rsidRDefault="000B394A" w:rsidP="000B394A">
      <w:pPr>
        <w:rPr>
          <w:rFonts w:ascii="Times New Roman" w:hAnsi="Times New Roman" w:cs="Times New Roman"/>
          <w:sz w:val="22"/>
          <w:szCs w:val="22"/>
        </w:rPr>
      </w:pPr>
    </w:p>
    <w:p w14:paraId="4AA01B10" w14:textId="32146456" w:rsidR="00586CFB" w:rsidRPr="00357908" w:rsidRDefault="00D91B42" w:rsidP="000B394A">
      <w:pPr>
        <w:pStyle w:val="Nagwek1"/>
        <w:rPr>
          <w:rFonts w:ascii="Times New Roman" w:hAnsi="Times New Roman" w:cs="Times New Roman"/>
          <w:b/>
          <w:sz w:val="22"/>
          <w:szCs w:val="22"/>
        </w:rPr>
      </w:pPr>
      <w:r w:rsidRPr="00357908">
        <w:rPr>
          <w:rFonts w:ascii="Times New Roman" w:hAnsi="Times New Roman" w:cs="Times New Roman"/>
          <w:b/>
          <w:sz w:val="22"/>
          <w:szCs w:val="22"/>
        </w:rPr>
        <w:t>Dostarczenie i w</w:t>
      </w:r>
      <w:r w:rsidR="00586CFB" w:rsidRPr="00357908">
        <w:rPr>
          <w:rFonts w:ascii="Times New Roman" w:hAnsi="Times New Roman" w:cs="Times New Roman"/>
          <w:b/>
          <w:sz w:val="22"/>
          <w:szCs w:val="22"/>
        </w:rPr>
        <w:t>drożenie narzędzi klasy EDR</w:t>
      </w:r>
      <w:bookmarkEnd w:id="4"/>
    </w:p>
    <w:p w14:paraId="5AA639A9" w14:textId="77777777" w:rsidR="00586CFB" w:rsidRPr="00357908" w:rsidRDefault="00586CFB" w:rsidP="000B394A">
      <w:pPr>
        <w:rPr>
          <w:rFonts w:ascii="Times New Roman" w:hAnsi="Times New Roman" w:cs="Times New Roman"/>
          <w:sz w:val="22"/>
          <w:szCs w:val="22"/>
          <w:lang w:eastAsia="zh-CN" w:bidi="hi-IN"/>
        </w:rPr>
      </w:pPr>
    </w:p>
    <w:p w14:paraId="35FEEC0D" w14:textId="77777777" w:rsidR="00586CFB" w:rsidRPr="00357908" w:rsidRDefault="00586CFB" w:rsidP="000B394A">
      <w:pPr>
        <w:rPr>
          <w:rFonts w:ascii="Times New Roman" w:hAnsi="Times New Roman" w:cs="Times New Roman"/>
          <w:sz w:val="22"/>
          <w:szCs w:val="22"/>
          <w:lang w:eastAsia="zh-CN" w:bidi="hi-IN"/>
        </w:rPr>
      </w:pPr>
      <w:r w:rsidRPr="00357908">
        <w:rPr>
          <w:rFonts w:ascii="Times New Roman" w:hAnsi="Times New Roman" w:cs="Times New Roman"/>
          <w:sz w:val="22"/>
          <w:szCs w:val="22"/>
          <w:lang w:eastAsia="zh-CN" w:bidi="hi-IN"/>
        </w:rPr>
        <w:t>W ramach dostawy Wykonawca musi dostarczyć oprogramowanie spełniający poniższe wymagania.</w:t>
      </w:r>
    </w:p>
    <w:p w14:paraId="0FB27888" w14:textId="77777777" w:rsidR="00586CFB" w:rsidRPr="00357908" w:rsidRDefault="00586CFB" w:rsidP="000B394A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elasiatki1jasnaakcent1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843"/>
        <w:gridCol w:w="8505"/>
      </w:tblGrid>
      <w:tr w:rsidR="00586CFB" w:rsidRPr="00357908" w14:paraId="2C3F5B06" w14:textId="77777777" w:rsidTr="00FA22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12" w:space="0" w:color="8EAADB"/>
            </w:tcBorders>
          </w:tcPr>
          <w:p w14:paraId="4CC6A9A9" w14:textId="77777777" w:rsidR="00586CFB" w:rsidRPr="00357908" w:rsidRDefault="00586CFB" w:rsidP="000B394A">
            <w:pPr>
              <w:spacing w:after="120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5790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Cecha</w:t>
            </w:r>
          </w:p>
        </w:tc>
        <w:tc>
          <w:tcPr>
            <w:tcW w:w="8505" w:type="dxa"/>
            <w:tcBorders>
              <w:bottom w:val="single" w:sz="12" w:space="0" w:color="8EAADB"/>
            </w:tcBorders>
          </w:tcPr>
          <w:p w14:paraId="7C679155" w14:textId="77777777" w:rsidR="00586CFB" w:rsidRPr="00357908" w:rsidRDefault="00586CFB" w:rsidP="000B3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5790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Wymagania minimalne</w:t>
            </w:r>
          </w:p>
        </w:tc>
      </w:tr>
      <w:tr w:rsidR="00586CFB" w:rsidRPr="00357908" w14:paraId="5B37E414" w14:textId="77777777" w:rsidTr="00FA22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1593B373" w14:textId="77777777" w:rsidR="00586CFB" w:rsidRPr="00357908" w:rsidRDefault="00586CFB" w:rsidP="000B394A">
            <w:pPr>
              <w:pStyle w:val="Akapitzlist"/>
              <w:spacing w:line="240" w:lineRule="auto"/>
              <w:ind w:left="-110"/>
              <w:jc w:val="center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>Ogólne</w:t>
            </w:r>
          </w:p>
        </w:tc>
        <w:tc>
          <w:tcPr>
            <w:tcW w:w="8505" w:type="dxa"/>
          </w:tcPr>
          <w:p w14:paraId="5E57F414" w14:textId="28DC2C9B" w:rsidR="00586CFB" w:rsidRPr="00357908" w:rsidRDefault="00586CFB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Obecnie Zamawiający użytkuję oprogramowanie ESET PROTECT </w:t>
            </w:r>
            <w:proofErr w:type="spellStart"/>
            <w:r w:rsidRPr="00357908">
              <w:rPr>
                <w:rFonts w:ascii="Times New Roman" w:eastAsia="Calibri" w:hAnsi="Times New Roman" w:cs="Times New Roman"/>
                <w:sz w:val="22"/>
                <w:szCs w:val="22"/>
              </w:rPr>
              <w:t>Entry</w:t>
            </w:r>
            <w:proofErr w:type="spellEnd"/>
            <w:r w:rsidRPr="00357908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na 2</w:t>
            </w:r>
            <w:r w:rsidR="007F4AEB" w:rsidRPr="00357908">
              <w:rPr>
                <w:rFonts w:ascii="Times New Roman" w:eastAsia="Calibri" w:hAnsi="Times New Roman" w:cs="Times New Roman"/>
                <w:sz w:val="22"/>
                <w:szCs w:val="22"/>
              </w:rPr>
              <w:t>6</w:t>
            </w:r>
            <w:r w:rsidRPr="00357908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urządzeń o identyfikatorze licencji </w:t>
            </w:r>
            <w:r w:rsidR="000B394A" w:rsidRPr="00357908">
              <w:rPr>
                <w:rFonts w:ascii="Times New Roman" w:eastAsia="Calibri" w:hAnsi="Times New Roman" w:cs="Times New Roman"/>
                <w:sz w:val="22"/>
                <w:szCs w:val="22"/>
                <w:highlight w:val="yellow"/>
              </w:rPr>
              <w:t>…………</w:t>
            </w:r>
            <w:r w:rsidRPr="00357908">
              <w:rPr>
                <w:rFonts w:ascii="Times New Roman" w:eastAsia="Calibri" w:hAnsi="Times New Roman" w:cs="Times New Roman"/>
                <w:sz w:val="22"/>
                <w:szCs w:val="22"/>
                <w:highlight w:val="yellow"/>
              </w:rPr>
              <w:t>.</w:t>
            </w:r>
          </w:p>
          <w:p w14:paraId="6F3B9108" w14:textId="0CC91078" w:rsidR="00586CFB" w:rsidRPr="00357908" w:rsidRDefault="00586CFB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Dostarczone oprogramowanie musi zostać podniesione przynajmniej do wersji ESET PROTECT Enterprise dla 26 urządzeń. Obecnie posiadana licencja jest ważna do 21 </w:t>
            </w:r>
            <w:r w:rsidR="007F4AEB" w:rsidRPr="00357908">
              <w:rPr>
                <w:rFonts w:ascii="Times New Roman" w:eastAsia="Calibri" w:hAnsi="Times New Roman" w:cs="Times New Roman"/>
                <w:sz w:val="22"/>
                <w:szCs w:val="22"/>
              </w:rPr>
              <w:t>kwietnia</w:t>
            </w:r>
            <w:r w:rsidRPr="00357908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2025 r., wymaga się również przedłużenia podniesionej licencji o kolejny rok.</w:t>
            </w:r>
          </w:p>
        </w:tc>
      </w:tr>
    </w:tbl>
    <w:p w14:paraId="7150E5FC" w14:textId="4793DBCC" w:rsidR="001961E5" w:rsidRPr="00357908" w:rsidRDefault="001961E5" w:rsidP="000B394A">
      <w:pPr>
        <w:rPr>
          <w:rFonts w:ascii="Times New Roman" w:hAnsi="Times New Roman" w:cs="Times New Roman"/>
          <w:sz w:val="22"/>
          <w:szCs w:val="22"/>
          <w:lang w:eastAsia="zh-CN" w:bidi="hi-IN"/>
        </w:rPr>
      </w:pPr>
    </w:p>
    <w:p w14:paraId="0E6406A4" w14:textId="2E5F79C7" w:rsidR="001961E5" w:rsidRPr="00357908" w:rsidRDefault="001961E5" w:rsidP="000B394A">
      <w:pPr>
        <w:rPr>
          <w:rFonts w:ascii="Times New Roman" w:hAnsi="Times New Roman" w:cs="Times New Roman"/>
          <w:sz w:val="22"/>
          <w:szCs w:val="22"/>
          <w:lang w:eastAsia="zh-CN" w:bidi="hi-IN"/>
        </w:rPr>
      </w:pPr>
    </w:p>
    <w:p w14:paraId="6A75DAE7" w14:textId="5C56E79B" w:rsidR="007F4AEB" w:rsidRPr="00357908" w:rsidRDefault="007F4AEB" w:rsidP="000B394A">
      <w:pPr>
        <w:pStyle w:val="Nagwek1"/>
        <w:rPr>
          <w:rFonts w:ascii="Times New Roman" w:hAnsi="Times New Roman" w:cs="Times New Roman"/>
          <w:b/>
          <w:sz w:val="22"/>
          <w:szCs w:val="22"/>
        </w:rPr>
      </w:pPr>
      <w:bookmarkStart w:id="5" w:name="_Toc184565447"/>
      <w:r w:rsidRPr="00357908">
        <w:rPr>
          <w:rFonts w:ascii="Times New Roman" w:hAnsi="Times New Roman" w:cs="Times New Roman"/>
          <w:b/>
          <w:sz w:val="22"/>
          <w:szCs w:val="22"/>
        </w:rPr>
        <w:t>Switch 10Gb</w:t>
      </w:r>
      <w:bookmarkEnd w:id="5"/>
    </w:p>
    <w:p w14:paraId="7E1819FB" w14:textId="77777777" w:rsidR="007F4AEB" w:rsidRPr="00357908" w:rsidRDefault="007F4AEB" w:rsidP="000B394A">
      <w:pPr>
        <w:rPr>
          <w:rFonts w:ascii="Times New Roman" w:hAnsi="Times New Roman" w:cs="Times New Roman"/>
          <w:sz w:val="22"/>
          <w:szCs w:val="22"/>
        </w:rPr>
      </w:pPr>
    </w:p>
    <w:p w14:paraId="709AE3D1" w14:textId="567FA270" w:rsidR="007F4AEB" w:rsidRPr="00357908" w:rsidRDefault="007F4AEB" w:rsidP="000B394A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57908">
        <w:rPr>
          <w:rFonts w:ascii="Times New Roman" w:hAnsi="Times New Roman" w:cs="Times New Roman"/>
          <w:sz w:val="22"/>
          <w:szCs w:val="22"/>
        </w:rPr>
        <w:t xml:space="preserve">W ramach dostawy Wykonawca musi dostarczyć </w:t>
      </w:r>
      <w:r w:rsidR="004F4DDD" w:rsidRPr="00357908">
        <w:rPr>
          <w:rFonts w:ascii="Times New Roman" w:hAnsi="Times New Roman" w:cs="Times New Roman"/>
          <w:sz w:val="22"/>
          <w:szCs w:val="22"/>
        </w:rPr>
        <w:t xml:space="preserve">klaster </w:t>
      </w:r>
      <w:r w:rsidR="00094B4E" w:rsidRPr="00357908">
        <w:rPr>
          <w:rFonts w:ascii="Times New Roman" w:hAnsi="Times New Roman" w:cs="Times New Roman"/>
          <w:sz w:val="22"/>
          <w:szCs w:val="22"/>
        </w:rPr>
        <w:t xml:space="preserve">2 </w:t>
      </w:r>
      <w:proofErr w:type="spellStart"/>
      <w:r w:rsidRPr="00357908">
        <w:rPr>
          <w:rFonts w:ascii="Times New Roman" w:hAnsi="Times New Roman" w:cs="Times New Roman"/>
          <w:sz w:val="22"/>
          <w:szCs w:val="22"/>
        </w:rPr>
        <w:t>switch</w:t>
      </w:r>
      <w:r w:rsidR="004F4DDD" w:rsidRPr="00357908">
        <w:rPr>
          <w:rFonts w:ascii="Times New Roman" w:hAnsi="Times New Roman" w:cs="Times New Roman"/>
          <w:sz w:val="22"/>
          <w:szCs w:val="22"/>
        </w:rPr>
        <w:t>y</w:t>
      </w:r>
      <w:proofErr w:type="spellEnd"/>
      <w:r w:rsidRPr="00357908">
        <w:rPr>
          <w:rFonts w:ascii="Times New Roman" w:hAnsi="Times New Roman" w:cs="Times New Roman"/>
          <w:sz w:val="22"/>
          <w:szCs w:val="22"/>
        </w:rPr>
        <w:t xml:space="preserve"> spełniający</w:t>
      </w:r>
      <w:r w:rsidR="004F4DDD" w:rsidRPr="00357908">
        <w:rPr>
          <w:rFonts w:ascii="Times New Roman" w:hAnsi="Times New Roman" w:cs="Times New Roman"/>
          <w:sz w:val="22"/>
          <w:szCs w:val="22"/>
        </w:rPr>
        <w:t>ch</w:t>
      </w:r>
      <w:r w:rsidRPr="00357908">
        <w:rPr>
          <w:rFonts w:ascii="Times New Roman" w:hAnsi="Times New Roman" w:cs="Times New Roman"/>
          <w:sz w:val="22"/>
          <w:szCs w:val="22"/>
        </w:rPr>
        <w:t xml:space="preserve"> poniższe wymagania.</w:t>
      </w:r>
      <w:r w:rsidR="00094B4E" w:rsidRPr="00357908">
        <w:rPr>
          <w:rFonts w:ascii="Times New Roman" w:hAnsi="Times New Roman" w:cs="Times New Roman"/>
          <w:sz w:val="22"/>
          <w:szCs w:val="22"/>
        </w:rPr>
        <w:t xml:space="preserve"> Zaoferowane rozwiązanie musi</w:t>
      </w:r>
      <w:r w:rsidRPr="00357908">
        <w:rPr>
          <w:rFonts w:ascii="Times New Roman" w:hAnsi="Times New Roman" w:cs="Times New Roman"/>
          <w:sz w:val="22"/>
          <w:szCs w:val="22"/>
        </w:rPr>
        <w:t xml:space="preserve"> umożliwiać integrację z oferowanym w punkcie </w:t>
      </w:r>
      <w:r w:rsidR="004F4DDD" w:rsidRPr="00357908">
        <w:rPr>
          <w:rFonts w:ascii="Times New Roman" w:hAnsi="Times New Roman" w:cs="Times New Roman"/>
          <w:sz w:val="22"/>
          <w:szCs w:val="22"/>
        </w:rPr>
        <w:t>3</w:t>
      </w:r>
      <w:r w:rsidRPr="00357908">
        <w:rPr>
          <w:rFonts w:ascii="Times New Roman" w:hAnsi="Times New Roman" w:cs="Times New Roman"/>
          <w:sz w:val="22"/>
          <w:szCs w:val="22"/>
        </w:rPr>
        <w:t xml:space="preserve"> urządzeni</w:t>
      </w:r>
      <w:r w:rsidR="00B71F0B" w:rsidRPr="00357908">
        <w:rPr>
          <w:rFonts w:ascii="Times New Roman" w:hAnsi="Times New Roman" w:cs="Times New Roman"/>
          <w:sz w:val="22"/>
          <w:szCs w:val="22"/>
        </w:rPr>
        <w:t>u</w:t>
      </w:r>
      <w:r w:rsidRPr="00357908">
        <w:rPr>
          <w:rFonts w:ascii="Times New Roman" w:hAnsi="Times New Roman" w:cs="Times New Roman"/>
          <w:sz w:val="22"/>
          <w:szCs w:val="22"/>
        </w:rPr>
        <w:t xml:space="preserve"> „</w:t>
      </w:r>
      <w:r w:rsidR="004F4DDD" w:rsidRPr="00357908">
        <w:rPr>
          <w:rFonts w:ascii="Times New Roman" w:hAnsi="Times New Roman" w:cs="Times New Roman"/>
          <w:sz w:val="22"/>
          <w:szCs w:val="22"/>
        </w:rPr>
        <w:t>Urządzenie UTM</w:t>
      </w:r>
      <w:r w:rsidRPr="00357908">
        <w:rPr>
          <w:rFonts w:ascii="Times New Roman" w:hAnsi="Times New Roman" w:cs="Times New Roman"/>
          <w:sz w:val="22"/>
          <w:szCs w:val="22"/>
        </w:rPr>
        <w:t>” oraz umożliwiać w przyszłości integracji z systemami klasy NAC.</w:t>
      </w:r>
    </w:p>
    <w:p w14:paraId="0122AADC" w14:textId="7DFC49A9" w:rsidR="007F4AEB" w:rsidRPr="00357908" w:rsidRDefault="007F4AEB" w:rsidP="000B394A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57908">
        <w:rPr>
          <w:rFonts w:ascii="Times New Roman" w:hAnsi="Times New Roman" w:cs="Times New Roman"/>
          <w:sz w:val="22"/>
          <w:szCs w:val="22"/>
        </w:rPr>
        <w:t>Dostarczone rozwiązanie musi zostać zainstalowane w infrastrukturze sieciowej Zamawiającego zgodnie z najlepszymi praktykami i wszystkimi niezbędnymi do wykonania konfiguracjami, które to wynikną w czasie jego implementacji na sieci Zamawiającego.</w:t>
      </w:r>
      <w:r w:rsidR="00171887" w:rsidRPr="00357908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D52E66E" w14:textId="77777777" w:rsidR="00171887" w:rsidRPr="00357908" w:rsidRDefault="00171887" w:rsidP="000B394A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162498D5" w14:textId="77777777" w:rsidR="007F4AEB" w:rsidRPr="00357908" w:rsidRDefault="007F4AEB" w:rsidP="000B394A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elasiatki1jasnaakcent1"/>
        <w:tblW w:w="10348" w:type="dxa"/>
        <w:tblInd w:w="-572" w:type="dxa"/>
        <w:tblLook w:val="04A0" w:firstRow="1" w:lastRow="0" w:firstColumn="1" w:lastColumn="0" w:noHBand="0" w:noVBand="1"/>
      </w:tblPr>
      <w:tblGrid>
        <w:gridCol w:w="1843"/>
        <w:gridCol w:w="8505"/>
      </w:tblGrid>
      <w:tr w:rsidR="007F4AEB" w:rsidRPr="00357908" w14:paraId="702A23F0" w14:textId="77777777" w:rsidTr="00FA22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hideMark/>
          </w:tcPr>
          <w:p w14:paraId="1507D4B9" w14:textId="77777777" w:rsidR="007F4AEB" w:rsidRPr="00357908" w:rsidRDefault="007F4AEB" w:rsidP="000B394A">
            <w:pPr>
              <w:spacing w:after="12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5790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Cecha</w:t>
            </w:r>
          </w:p>
        </w:tc>
        <w:tc>
          <w:tcPr>
            <w:tcW w:w="8505" w:type="dxa"/>
            <w:hideMark/>
          </w:tcPr>
          <w:p w14:paraId="687874EA" w14:textId="77777777" w:rsidR="007F4AEB" w:rsidRPr="00357908" w:rsidRDefault="007F4AEB" w:rsidP="000B3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5790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Wymagania minimalne</w:t>
            </w:r>
          </w:p>
        </w:tc>
      </w:tr>
      <w:tr w:rsidR="007F4AEB" w:rsidRPr="00357908" w14:paraId="6307339A" w14:textId="77777777" w:rsidTr="00FA223D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hideMark/>
          </w:tcPr>
          <w:p w14:paraId="1BB19823" w14:textId="77777777" w:rsidR="007F4AEB" w:rsidRPr="00357908" w:rsidRDefault="007F4AEB" w:rsidP="000B394A">
            <w:pPr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5790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Ogólne</w:t>
            </w:r>
          </w:p>
        </w:tc>
        <w:tc>
          <w:tcPr>
            <w:tcW w:w="8505" w:type="dxa"/>
            <w:hideMark/>
          </w:tcPr>
          <w:p w14:paraId="07264A90" w14:textId="77777777" w:rsidR="007F4AEB" w:rsidRPr="00357908" w:rsidRDefault="007F4AEB" w:rsidP="000B394A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W ramach postępowania wymaganym jest dostarczenie elementów systemu niezbędnych do zbudowania bezpiecznej infrastruktury dostępowej. Poszczególne elementy systemu muszą zostać dostarczone w postaci komercyjnych platform sprzętowych lub programowych. W celu realizacji bezpiecznej infrastruktury teleinformatycznej, wymaganym jest dostarczenie przełącznika oraz innych elementów funkcjonalnych, współpracujących oferowanym przez wykonawcę UTM.</w:t>
            </w:r>
          </w:p>
        </w:tc>
      </w:tr>
      <w:tr w:rsidR="007F4AEB" w:rsidRPr="00357908" w14:paraId="4153DAF8" w14:textId="77777777" w:rsidTr="00FA223D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26538B1D" w14:textId="77777777" w:rsidR="007F4AEB" w:rsidRPr="00357908" w:rsidRDefault="007F4AEB" w:rsidP="000B394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5790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Parametry fizyczne platformy</w:t>
            </w:r>
          </w:p>
        </w:tc>
        <w:tc>
          <w:tcPr>
            <w:tcW w:w="8505" w:type="dxa"/>
            <w:shd w:val="clear" w:color="auto" w:fill="auto"/>
          </w:tcPr>
          <w:p w14:paraId="6E0CAE26" w14:textId="77777777" w:rsidR="007F4AEB" w:rsidRPr="00357908" w:rsidRDefault="007F4AEB" w:rsidP="000B394A">
            <w:pPr>
              <w:pStyle w:val="Akapitzlist"/>
              <w:numPr>
                <w:ilvl w:val="0"/>
                <w:numId w:val="9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>Wymiary urządzenia muszą pozwalać na montaż w szafie rack 19", obudowa nie może być wyższa niż 1U.</w:t>
            </w:r>
          </w:p>
          <w:p w14:paraId="7781E71B" w14:textId="77777777" w:rsidR="007F4AEB" w:rsidRPr="00357908" w:rsidRDefault="007F4AEB" w:rsidP="000B394A">
            <w:pPr>
              <w:pStyle w:val="Akapitzlist"/>
              <w:numPr>
                <w:ilvl w:val="0"/>
                <w:numId w:val="9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>Zasilanie AC 230V.</w:t>
            </w:r>
          </w:p>
          <w:p w14:paraId="0B5119B5" w14:textId="62228E2A" w:rsidR="007F4AEB" w:rsidRPr="00357908" w:rsidRDefault="007F4AEB" w:rsidP="000B394A">
            <w:pPr>
              <w:pStyle w:val="Akapitzlist"/>
              <w:numPr>
                <w:ilvl w:val="0"/>
                <w:numId w:val="9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>Maksymalny pobór mocy: 30W.</w:t>
            </w:r>
          </w:p>
        </w:tc>
      </w:tr>
      <w:tr w:rsidR="007F4AEB" w:rsidRPr="00357908" w14:paraId="3AFB0530" w14:textId="77777777" w:rsidTr="00FA223D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490427FF" w14:textId="77777777" w:rsidR="007F4AEB" w:rsidRPr="00357908" w:rsidRDefault="007F4AEB" w:rsidP="000B394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5790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Interfejsy sieciowe - wymagania minimalne</w:t>
            </w:r>
          </w:p>
        </w:tc>
        <w:tc>
          <w:tcPr>
            <w:tcW w:w="8505" w:type="dxa"/>
            <w:shd w:val="clear" w:color="auto" w:fill="auto"/>
          </w:tcPr>
          <w:p w14:paraId="3F7F3B8D" w14:textId="77777777" w:rsidR="007F4AEB" w:rsidRPr="00357908" w:rsidRDefault="007F4AEB" w:rsidP="000B394A">
            <w:pPr>
              <w:pStyle w:val="Akapitzlist"/>
              <w:numPr>
                <w:ilvl w:val="0"/>
                <w:numId w:val="10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>Wymaganym jest, aby przełącznik dysponował niezależnymi interfejsami sieciowymi (nie dopuszcza się portów typu combo) w ilości:</w:t>
            </w:r>
          </w:p>
          <w:p w14:paraId="0F1C68DE" w14:textId="77777777" w:rsidR="007F4AEB" w:rsidRPr="00357908" w:rsidRDefault="007F4AEB" w:rsidP="000B394A">
            <w:pPr>
              <w:pStyle w:val="Default"/>
              <w:numPr>
                <w:ilvl w:val="0"/>
                <w:numId w:val="1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24 porty GE RJ-45</w:t>
            </w:r>
          </w:p>
          <w:p w14:paraId="4FEFBB8E" w14:textId="77777777" w:rsidR="007F4AEB" w:rsidRPr="00357908" w:rsidRDefault="007F4AEB" w:rsidP="000B394A">
            <w:pPr>
              <w:pStyle w:val="Default"/>
              <w:numPr>
                <w:ilvl w:val="0"/>
                <w:numId w:val="1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4 porty 10 GE SFP+.</w:t>
            </w:r>
          </w:p>
        </w:tc>
      </w:tr>
      <w:tr w:rsidR="007F4AEB" w:rsidRPr="00357908" w14:paraId="66EC5483" w14:textId="77777777" w:rsidTr="00FA223D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4B02CAAB" w14:textId="77777777" w:rsidR="007F4AEB" w:rsidRPr="00357908" w:rsidRDefault="007F4AEB" w:rsidP="000B394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5790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Zarządzanie</w:t>
            </w:r>
          </w:p>
        </w:tc>
        <w:tc>
          <w:tcPr>
            <w:tcW w:w="8505" w:type="dxa"/>
            <w:shd w:val="clear" w:color="auto" w:fill="auto"/>
          </w:tcPr>
          <w:p w14:paraId="4525DFDB" w14:textId="77777777" w:rsidR="007F4AEB" w:rsidRPr="00357908" w:rsidRDefault="007F4AEB" w:rsidP="000B394A">
            <w:pPr>
              <w:pStyle w:val="Akapitzlist"/>
              <w:numPr>
                <w:ilvl w:val="0"/>
                <w:numId w:val="11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 xml:space="preserve">Zarządzanie przez: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</w:rPr>
              <w:t>command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</w:rPr>
              <w:t>line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</w:rPr>
              <w:t xml:space="preserve"> (w tym poprzez SSH) oraz poprzez graficzny interfejs z wykorzystaniem przeglądarki (HTTPS).</w:t>
            </w:r>
          </w:p>
          <w:p w14:paraId="5909B750" w14:textId="77777777" w:rsidR="007F4AEB" w:rsidRPr="00357908" w:rsidRDefault="007F4AEB" w:rsidP="000B394A">
            <w:pPr>
              <w:pStyle w:val="Akapitzlist"/>
              <w:numPr>
                <w:ilvl w:val="0"/>
                <w:numId w:val="11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>Wsparcie dla SNMP w wersjach 1-3</w:t>
            </w:r>
          </w:p>
          <w:p w14:paraId="64CA6156" w14:textId="77777777" w:rsidR="007F4AEB" w:rsidRPr="00357908" w:rsidRDefault="007F4AEB" w:rsidP="000B394A">
            <w:pPr>
              <w:pStyle w:val="Akapitzlist"/>
              <w:numPr>
                <w:ilvl w:val="0"/>
                <w:numId w:val="11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>Funkcja zarządzania poprzez dedykowany kontroler przełączników lub system zarządzania, pozwalający na automatyczne wykrywanie, centralne konfigurowanie oraz zarządzanie przełącznikami.</w:t>
            </w:r>
          </w:p>
          <w:p w14:paraId="430501F3" w14:textId="77777777" w:rsidR="007F4AEB" w:rsidRPr="00357908" w:rsidRDefault="007F4AEB" w:rsidP="000B394A">
            <w:pPr>
              <w:pStyle w:val="Akapitzlist"/>
              <w:numPr>
                <w:ilvl w:val="0"/>
                <w:numId w:val="11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>Funkcja aktualizacji oprogramowania przez TFTP/FTP oraz za pomocą GUI.</w:t>
            </w:r>
          </w:p>
          <w:p w14:paraId="32289BB9" w14:textId="77777777" w:rsidR="007F4AEB" w:rsidRPr="00357908" w:rsidRDefault="007F4AEB" w:rsidP="000B394A">
            <w:pPr>
              <w:pStyle w:val="Akapitzlist"/>
              <w:numPr>
                <w:ilvl w:val="0"/>
                <w:numId w:val="11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>Konfiguracja w formie pliku tekstowego umożliwiającego edycję konfiguracji offline.</w:t>
            </w:r>
          </w:p>
          <w:p w14:paraId="5AEAD6E1" w14:textId="77777777" w:rsidR="007F4AEB" w:rsidRPr="00357908" w:rsidRDefault="007F4AEB" w:rsidP="000B394A">
            <w:pPr>
              <w:pStyle w:val="Akapitzlist"/>
              <w:numPr>
                <w:ilvl w:val="0"/>
                <w:numId w:val="11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>Funkcja backupu konfiguracji z poziomu GUI jak również z CLI (TFTP/FTP).</w:t>
            </w:r>
          </w:p>
          <w:p w14:paraId="7E426B4C" w14:textId="77777777" w:rsidR="007F4AEB" w:rsidRPr="00357908" w:rsidRDefault="007F4AEB" w:rsidP="000B394A">
            <w:pPr>
              <w:pStyle w:val="Akapitzlist"/>
              <w:numPr>
                <w:ilvl w:val="0"/>
                <w:numId w:val="11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>Funkcja definiowania administratorów lokalnie oraz wykorzystanie w tym celu serwerów Radius i TACACS+.</w:t>
            </w:r>
          </w:p>
          <w:p w14:paraId="551B4296" w14:textId="77777777" w:rsidR="007F4AEB" w:rsidRPr="00357908" w:rsidRDefault="007F4AEB" w:rsidP="000B394A">
            <w:pPr>
              <w:pStyle w:val="Akapitzlist"/>
              <w:numPr>
                <w:ilvl w:val="0"/>
                <w:numId w:val="11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>Funkcja definiowania ról administratorów z możliwością określenia trybu dostępu (brak, tylko odczyt, odczyt oraz modyfikacja) do wybranych części konfiguracji.</w:t>
            </w:r>
          </w:p>
          <w:p w14:paraId="11D657A0" w14:textId="77777777" w:rsidR="007F4AEB" w:rsidRPr="00357908" w:rsidRDefault="007F4AEB" w:rsidP="000B394A">
            <w:pPr>
              <w:pStyle w:val="Akapitzlist"/>
              <w:numPr>
                <w:ilvl w:val="0"/>
                <w:numId w:val="11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>Automatycznie wykonywane rewizje konfiguracji.</w:t>
            </w:r>
          </w:p>
        </w:tc>
      </w:tr>
      <w:tr w:rsidR="007F4AEB" w:rsidRPr="00357908" w14:paraId="159BD1B4" w14:textId="77777777" w:rsidTr="00FA223D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1373190F" w14:textId="77777777" w:rsidR="007F4AEB" w:rsidRPr="00357908" w:rsidRDefault="007F4AEB" w:rsidP="000B394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5790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Parametry wydajnościowe</w:t>
            </w:r>
          </w:p>
        </w:tc>
        <w:tc>
          <w:tcPr>
            <w:tcW w:w="8505" w:type="dxa"/>
            <w:shd w:val="clear" w:color="auto" w:fill="auto"/>
          </w:tcPr>
          <w:p w14:paraId="41950467" w14:textId="77777777" w:rsidR="007F4AEB" w:rsidRPr="00357908" w:rsidRDefault="007F4AEB" w:rsidP="000B394A">
            <w:pPr>
              <w:pStyle w:val="Akapitzlist"/>
              <w:numPr>
                <w:ilvl w:val="0"/>
                <w:numId w:val="12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 xml:space="preserve">Przepustowość urządzenia - min. 125 Gbps (pełna prędkość, tzw.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</w:rPr>
              <w:t>wire-speed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</w:rPr>
              <w:t xml:space="preserve"> na wszystkich portach) oraz min. 190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</w:rPr>
              <w:t>Mpps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</w:rPr>
              <w:t>.</w:t>
            </w:r>
          </w:p>
          <w:p w14:paraId="0CD6C6DA" w14:textId="77777777" w:rsidR="007F4AEB" w:rsidRPr="00357908" w:rsidRDefault="007F4AEB" w:rsidP="000B394A">
            <w:pPr>
              <w:pStyle w:val="Akapitzlist"/>
              <w:numPr>
                <w:ilvl w:val="0"/>
                <w:numId w:val="12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>Tablica adresów MAC o pojemności co najmniej 32k wpisów.</w:t>
            </w:r>
          </w:p>
          <w:p w14:paraId="26974E19" w14:textId="77777777" w:rsidR="007F4AEB" w:rsidRPr="00357908" w:rsidRDefault="007F4AEB" w:rsidP="000B394A">
            <w:pPr>
              <w:pStyle w:val="Akapitzlist"/>
              <w:numPr>
                <w:ilvl w:val="0"/>
                <w:numId w:val="12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>Opóźnienie wprowadzane przez przełącznik - poniżej 2 mikrosekund.</w:t>
            </w:r>
          </w:p>
        </w:tc>
      </w:tr>
      <w:tr w:rsidR="007F4AEB" w:rsidRPr="00357908" w14:paraId="6CC57BBB" w14:textId="77777777" w:rsidTr="00FA223D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15C897D9" w14:textId="77777777" w:rsidR="007F4AEB" w:rsidRPr="00357908" w:rsidRDefault="007F4AEB" w:rsidP="000B394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5790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Wymagane funkcje</w:t>
            </w:r>
          </w:p>
        </w:tc>
        <w:tc>
          <w:tcPr>
            <w:tcW w:w="8505" w:type="dxa"/>
          </w:tcPr>
          <w:p w14:paraId="4B760ED0" w14:textId="77777777" w:rsidR="007F4AEB" w:rsidRPr="00357908" w:rsidRDefault="007F4AEB" w:rsidP="000B394A">
            <w:pPr>
              <w:pStyle w:val="Akapitzlist"/>
              <w:numPr>
                <w:ilvl w:val="0"/>
                <w:numId w:val="13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 xml:space="preserve">Funkcja automatycznej negocjacji prędkości i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</w:rPr>
              <w:t>duplexu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</w:rPr>
              <w:t xml:space="preserve"> dla połączeń.</w:t>
            </w:r>
          </w:p>
          <w:p w14:paraId="0B231722" w14:textId="77777777" w:rsidR="007F4AEB" w:rsidRPr="00357908" w:rsidRDefault="007F4AEB" w:rsidP="000B394A">
            <w:pPr>
              <w:pStyle w:val="Akapitzlist"/>
              <w:numPr>
                <w:ilvl w:val="0"/>
                <w:numId w:val="13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 xml:space="preserve">Obsługa Jumbo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</w:rPr>
              <w:t>Frames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</w:rPr>
              <w:t>.</w:t>
            </w:r>
          </w:p>
          <w:p w14:paraId="5C3B3776" w14:textId="77777777" w:rsidR="007F4AEB" w:rsidRPr="00357908" w:rsidRDefault="007F4AEB" w:rsidP="000B394A">
            <w:pPr>
              <w:pStyle w:val="Akapitzlist"/>
              <w:numPr>
                <w:ilvl w:val="0"/>
                <w:numId w:val="13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lang w:val="en-US"/>
              </w:rPr>
            </w:pPr>
            <w:proofErr w:type="spellStart"/>
            <w:r w:rsidRPr="00357908">
              <w:rPr>
                <w:rFonts w:ascii="Times New Roman" w:hAnsi="Times New Roman" w:cs="Times New Roman"/>
                <w:sz w:val="22"/>
                <w:lang w:val="en-US"/>
              </w:rPr>
              <w:t>Obsługa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lang w:val="en-US"/>
              </w:rPr>
              <w:t xml:space="preserve"> 802.1d (Spanning Tree), 802.1w (Rapid Spanning Tree), 802.1s (Multiple Spanning Tree).</w:t>
            </w:r>
          </w:p>
          <w:p w14:paraId="66CB87FA" w14:textId="77777777" w:rsidR="007F4AEB" w:rsidRPr="00357908" w:rsidRDefault="007F4AEB" w:rsidP="000B394A">
            <w:pPr>
              <w:pStyle w:val="Akapitzlist"/>
              <w:numPr>
                <w:ilvl w:val="0"/>
                <w:numId w:val="13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>Agregacja portów zgodna ze standardem 802.3ad.</w:t>
            </w:r>
          </w:p>
          <w:p w14:paraId="292C610E" w14:textId="77777777" w:rsidR="007F4AEB" w:rsidRPr="00357908" w:rsidRDefault="007F4AEB" w:rsidP="000B394A">
            <w:pPr>
              <w:pStyle w:val="Akapitzlist"/>
              <w:numPr>
                <w:ilvl w:val="0"/>
                <w:numId w:val="13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lastRenderedPageBreak/>
              <w:t xml:space="preserve">Obsługa co najmniej 4000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</w:rPr>
              <w:t>VLAN'ów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</w:rPr>
              <w:t>, zgodna ze standardem 802.1Q.</w:t>
            </w:r>
          </w:p>
          <w:p w14:paraId="26942AC2" w14:textId="77777777" w:rsidR="007F4AEB" w:rsidRPr="00357908" w:rsidRDefault="007F4AEB" w:rsidP="000B394A">
            <w:pPr>
              <w:pStyle w:val="Akapitzlist"/>
              <w:numPr>
                <w:ilvl w:val="0"/>
                <w:numId w:val="13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>Port-mirroring.</w:t>
            </w:r>
          </w:p>
          <w:p w14:paraId="1D3911B2" w14:textId="77777777" w:rsidR="007F4AEB" w:rsidRPr="00357908" w:rsidRDefault="007F4AEB" w:rsidP="000B394A">
            <w:pPr>
              <w:pStyle w:val="Akapitzlist"/>
              <w:numPr>
                <w:ilvl w:val="0"/>
                <w:numId w:val="13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>Uwierzytelnianie 802.1x na poziomie portu.</w:t>
            </w:r>
          </w:p>
          <w:p w14:paraId="31689C80" w14:textId="77777777" w:rsidR="007F4AEB" w:rsidRPr="00357908" w:rsidRDefault="007F4AEB" w:rsidP="000B394A">
            <w:pPr>
              <w:pStyle w:val="Akapitzlist"/>
              <w:numPr>
                <w:ilvl w:val="0"/>
                <w:numId w:val="13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>Uwierzytelnianie 802.1x w oparciu o adres MAC.</w:t>
            </w:r>
          </w:p>
          <w:p w14:paraId="1548B53E" w14:textId="77777777" w:rsidR="007F4AEB" w:rsidRPr="00357908" w:rsidRDefault="007F4AEB" w:rsidP="000B394A">
            <w:pPr>
              <w:pStyle w:val="Akapitzlist"/>
              <w:numPr>
                <w:ilvl w:val="0"/>
                <w:numId w:val="13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 xml:space="preserve">W ramach 802.1x wsparcie dla dedykowanego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</w:rPr>
              <w:t>VLAN'u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</w:rPr>
              <w:t xml:space="preserve"> dla gości (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</w:rPr>
              <w:t>guest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</w:rPr>
              <w:t xml:space="preserve"> VLAN).</w:t>
            </w:r>
          </w:p>
          <w:p w14:paraId="215DBDBA" w14:textId="77777777" w:rsidR="007F4AEB" w:rsidRPr="00357908" w:rsidRDefault="007F4AEB" w:rsidP="000B394A">
            <w:pPr>
              <w:pStyle w:val="Akapitzlist"/>
              <w:numPr>
                <w:ilvl w:val="0"/>
                <w:numId w:val="13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>W ramach 802.1x wsparcie dla urządzeń, które nie obsługują tego protokołu, na podstawie adresu MAC urządzenia.</w:t>
            </w:r>
          </w:p>
          <w:p w14:paraId="244456DF" w14:textId="77777777" w:rsidR="007F4AEB" w:rsidRPr="00357908" w:rsidRDefault="007F4AEB" w:rsidP="000B394A">
            <w:pPr>
              <w:pStyle w:val="Akapitzlist"/>
              <w:numPr>
                <w:ilvl w:val="0"/>
                <w:numId w:val="13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>W ramach 802.1x wsparcie dla dynamicznego przypisywania VLAN.</w:t>
            </w:r>
          </w:p>
        </w:tc>
      </w:tr>
      <w:tr w:rsidR="007F4AEB" w:rsidRPr="00357908" w14:paraId="12CFC9B3" w14:textId="77777777" w:rsidTr="00FA223D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6F28A327" w14:textId="77777777" w:rsidR="007F4AEB" w:rsidRPr="00357908" w:rsidRDefault="007F4AEB" w:rsidP="000B394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5790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Dodatkowe funkcje urządzenia przy integracji z systemem centralnego zarządzania / NAC</w:t>
            </w:r>
          </w:p>
        </w:tc>
        <w:tc>
          <w:tcPr>
            <w:tcW w:w="8505" w:type="dxa"/>
          </w:tcPr>
          <w:p w14:paraId="0507F081" w14:textId="77777777" w:rsidR="007F4AEB" w:rsidRPr="00357908" w:rsidRDefault="007F4AEB" w:rsidP="000B394A">
            <w:pPr>
              <w:pStyle w:val="Akapitzlist"/>
              <w:numPr>
                <w:ilvl w:val="0"/>
                <w:numId w:val="14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 xml:space="preserve">Przełączniki muszą wspierać tryb pracy, w którym są zarządzane przez fizyczny element nadrzędny (przełącznik lub dedykowany kontroler) (tzw. port extender lub element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</w:rPr>
              <w:t>leaf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</w:rPr>
              <w:t xml:space="preserve"> w architekturze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</w:rPr>
              <w:t>spine-leaf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</w:rPr>
              <w:t xml:space="preserve">). Zakres zarządzania przez element nadrzędny musi zawierać co najmniej: </w:t>
            </w:r>
          </w:p>
          <w:p w14:paraId="1CA2368B" w14:textId="77777777" w:rsidR="007F4AEB" w:rsidRPr="00357908" w:rsidRDefault="007F4AEB" w:rsidP="000B394A">
            <w:pPr>
              <w:pStyle w:val="Default"/>
              <w:numPr>
                <w:ilvl w:val="0"/>
                <w:numId w:val="1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centralne zarządzanie konfiguracją urządzenia</w:t>
            </w:r>
          </w:p>
          <w:p w14:paraId="16133662" w14:textId="77777777" w:rsidR="007F4AEB" w:rsidRPr="00357908" w:rsidRDefault="007F4AEB" w:rsidP="000B394A">
            <w:pPr>
              <w:pStyle w:val="Default"/>
              <w:numPr>
                <w:ilvl w:val="0"/>
                <w:numId w:val="1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aktualizacja oprogramowania realizowana z systemu centralnego zarządzania</w:t>
            </w:r>
          </w:p>
          <w:p w14:paraId="7A1A16CE" w14:textId="77777777" w:rsidR="007F4AEB" w:rsidRPr="00357908" w:rsidRDefault="007F4AEB" w:rsidP="000B394A">
            <w:pPr>
              <w:pStyle w:val="Default"/>
              <w:numPr>
                <w:ilvl w:val="0"/>
                <w:numId w:val="1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centralne zarządzanie sieciami </w:t>
            </w:r>
            <w:proofErr w:type="spellStart"/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vlan</w:t>
            </w:r>
            <w:proofErr w:type="spellEnd"/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. </w:t>
            </w:r>
          </w:p>
          <w:p w14:paraId="55E9C86F" w14:textId="77777777" w:rsidR="007F4AEB" w:rsidRPr="00357908" w:rsidRDefault="007F4AEB" w:rsidP="000B394A">
            <w:pPr>
              <w:pStyle w:val="Default"/>
              <w:numPr>
                <w:ilvl w:val="0"/>
                <w:numId w:val="1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blokowanie ruchu pomiędzy klientami w ramach jednego </w:t>
            </w:r>
            <w:proofErr w:type="spellStart"/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vlan'u</w:t>
            </w:r>
            <w:proofErr w:type="spellEnd"/>
          </w:p>
          <w:p w14:paraId="04BB1DE0" w14:textId="77777777" w:rsidR="007F4AEB" w:rsidRPr="00357908" w:rsidRDefault="007F4AEB" w:rsidP="000B394A">
            <w:pPr>
              <w:pStyle w:val="Default"/>
              <w:numPr>
                <w:ilvl w:val="0"/>
                <w:numId w:val="1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rozpoznawanie urządzeń uzyskujących dostęp do sieci, zarówno stacji klienckich, jak i urządzeń typu drukarki, routery, przełączniki, itp.</w:t>
            </w:r>
          </w:p>
          <w:p w14:paraId="1975BBCC" w14:textId="77777777" w:rsidR="007F4AEB" w:rsidRPr="00357908" w:rsidRDefault="007F4AEB" w:rsidP="000B394A">
            <w:pPr>
              <w:pStyle w:val="Default"/>
              <w:numPr>
                <w:ilvl w:val="0"/>
                <w:numId w:val="1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przenoszenie zidentyfikowanych urządzeń do właściwych stref. w przypadku wykrycia urządzenia niepasującego do zaakceptowanych schematów, urządzenie powinno przenieść go do strefy odizolowanej.</w:t>
            </w:r>
          </w:p>
          <w:p w14:paraId="54B23509" w14:textId="77777777" w:rsidR="007F4AEB" w:rsidRPr="00357908" w:rsidRDefault="007F4AEB" w:rsidP="000B394A">
            <w:pPr>
              <w:pStyle w:val="Default"/>
              <w:numPr>
                <w:ilvl w:val="0"/>
                <w:numId w:val="1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integrację z systemem kontroli dostępu. urządzenie musi podejmować decyzje o dostępie na podstawie przynajmniej następujących czynników: nazwy hosta, nazwy użytkownika, typu urządzenia, typu systemu operacyjnego.</w:t>
            </w:r>
          </w:p>
          <w:p w14:paraId="53A96F63" w14:textId="77777777" w:rsidR="007F4AEB" w:rsidRPr="00357908" w:rsidRDefault="007F4AEB" w:rsidP="000B394A">
            <w:pPr>
              <w:pStyle w:val="Default"/>
              <w:numPr>
                <w:ilvl w:val="0"/>
                <w:numId w:val="1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automatyczna detekcja i rekomendacje konfiguracji.</w:t>
            </w:r>
          </w:p>
          <w:p w14:paraId="26230FFE" w14:textId="77777777" w:rsidR="007F4AEB" w:rsidRPr="00357908" w:rsidRDefault="007F4AEB" w:rsidP="000B394A">
            <w:pPr>
              <w:pStyle w:val="Default"/>
              <w:numPr>
                <w:ilvl w:val="0"/>
                <w:numId w:val="1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przesyłanie logów na zewnętrzny serwer </w:t>
            </w:r>
            <w:proofErr w:type="spellStart"/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syslog</w:t>
            </w:r>
            <w:proofErr w:type="spellEnd"/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.</w:t>
            </w:r>
          </w:p>
          <w:p w14:paraId="2A2953C0" w14:textId="77777777" w:rsidR="007F4AEB" w:rsidRPr="00357908" w:rsidRDefault="007F4AEB" w:rsidP="000B394A">
            <w:pPr>
              <w:pStyle w:val="Default"/>
              <w:numPr>
                <w:ilvl w:val="0"/>
                <w:numId w:val="1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funkcja uruchomienia </w:t>
            </w:r>
            <w:proofErr w:type="spellStart"/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captive</w:t>
            </w:r>
            <w:proofErr w:type="spellEnd"/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 portalu w celu identyfikacji użytkowników.</w:t>
            </w:r>
          </w:p>
          <w:p w14:paraId="0E7EA360" w14:textId="77777777" w:rsidR="007F4AEB" w:rsidRPr="00357908" w:rsidRDefault="007F4AEB" w:rsidP="000B394A">
            <w:pPr>
              <w:pStyle w:val="Default"/>
              <w:numPr>
                <w:ilvl w:val="0"/>
                <w:numId w:val="1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obsługa białych i czarnych list adresów mac.</w:t>
            </w:r>
          </w:p>
          <w:p w14:paraId="2B4E5D50" w14:textId="77777777" w:rsidR="007F4AEB" w:rsidRPr="00357908" w:rsidRDefault="007F4AEB" w:rsidP="000B394A">
            <w:pPr>
              <w:pStyle w:val="Default"/>
              <w:numPr>
                <w:ilvl w:val="0"/>
                <w:numId w:val="1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357908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wykrywanie aplikacji komunikujących się w sieci.</w:t>
            </w:r>
          </w:p>
          <w:p w14:paraId="785E8BD1" w14:textId="77777777" w:rsidR="007F4AEB" w:rsidRPr="00357908" w:rsidRDefault="007F4AEB" w:rsidP="000B394A">
            <w:pPr>
              <w:pStyle w:val="Akapitzlist"/>
              <w:numPr>
                <w:ilvl w:val="0"/>
                <w:numId w:val="14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 xml:space="preserve">Musi być możliwe redundantne połączenie z elementami zarządzającymi.   </w:t>
            </w:r>
          </w:p>
          <w:p w14:paraId="5E26D53F" w14:textId="77777777" w:rsidR="007F4AEB" w:rsidRPr="00357908" w:rsidRDefault="007F4AEB" w:rsidP="000B394A">
            <w:pPr>
              <w:pStyle w:val="Akapitzlist"/>
              <w:numPr>
                <w:ilvl w:val="0"/>
                <w:numId w:val="14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>W ramach postępowania koniecznym jest dostarczenie wszystkich licencji niezbędnych do uruchomienia na przełączniku w/w funkcji, polegających na integracji z systemem centralnego zarządzania lub NAC.</w:t>
            </w:r>
          </w:p>
        </w:tc>
      </w:tr>
      <w:tr w:rsidR="007F4AEB" w:rsidRPr="00357908" w14:paraId="2987DB26" w14:textId="77777777" w:rsidTr="00FA223D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48799C83" w14:textId="77777777" w:rsidR="007F4AEB" w:rsidRPr="00357908" w:rsidRDefault="007F4AEB" w:rsidP="000B394A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5790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Funkcje urządzenia przy integracji z systemem centralnego zarządzania lub bezpieczeństwa</w:t>
            </w:r>
          </w:p>
        </w:tc>
        <w:tc>
          <w:tcPr>
            <w:tcW w:w="8505" w:type="dxa"/>
          </w:tcPr>
          <w:p w14:paraId="7C76282D" w14:textId="77777777" w:rsidR="007F4AEB" w:rsidRPr="00357908" w:rsidRDefault="007F4AEB" w:rsidP="000B394A">
            <w:pPr>
              <w:pStyle w:val="Akapitzlist"/>
              <w:numPr>
                <w:ilvl w:val="0"/>
                <w:numId w:val="17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>System musi realizować funkcję Stateful Firewall pomiędzy sieciami VLAN realizowanymi na urządzeniu dostępowym.</w:t>
            </w:r>
          </w:p>
          <w:p w14:paraId="5BF03757" w14:textId="77777777" w:rsidR="007F4AEB" w:rsidRPr="00357908" w:rsidRDefault="007F4AEB" w:rsidP="000B394A">
            <w:pPr>
              <w:pStyle w:val="Akapitzlist"/>
              <w:numPr>
                <w:ilvl w:val="0"/>
                <w:numId w:val="17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357908">
              <w:rPr>
                <w:rFonts w:ascii="Times New Roman" w:hAnsi="Times New Roman" w:cs="Times New Roman"/>
                <w:sz w:val="22"/>
              </w:rPr>
              <w:t xml:space="preserve">System musi zapewniać Routing statyczny i dynamiczny (co najmniej OSPF) oraz Policy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</w:rPr>
              <w:t>Based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</w:rPr>
              <w:t xml:space="preserve"> Routing.</w:t>
            </w:r>
          </w:p>
        </w:tc>
      </w:tr>
      <w:tr w:rsidR="00FA223D" w:rsidRPr="00357908" w14:paraId="79D3DACE" w14:textId="77777777" w:rsidTr="00D05B25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D0CF6B7" w14:textId="77777777" w:rsidR="00FA223D" w:rsidRPr="00357908" w:rsidRDefault="00FA223D" w:rsidP="000B39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Serwisy, licencje i gwarancja</w:t>
            </w:r>
          </w:p>
        </w:tc>
        <w:tc>
          <w:tcPr>
            <w:tcW w:w="8505" w:type="dxa"/>
          </w:tcPr>
          <w:p w14:paraId="0EED4641" w14:textId="5C6296C4" w:rsidR="00FA223D" w:rsidRPr="00357908" w:rsidRDefault="00FA223D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Sprzęt musi być objęty serwisem gwarancyjnym producenta przez okres </w:t>
            </w:r>
            <w:r w:rsidRPr="00357908"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  <w:t>12</w:t>
            </w:r>
            <w:r w:rsidRPr="00357908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 miesięcy</w:t>
            </w:r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, polegającym na naprawie lub wymianie urządzenia w przypadku jego wadliwości w trybie AHR (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advanced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 xml:space="preserve"> hardware </w:t>
            </w:r>
            <w:proofErr w:type="spellStart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replacement</w:t>
            </w:r>
            <w:proofErr w:type="spellEnd"/>
            <w:r w:rsidRPr="00357908">
              <w:rPr>
                <w:rFonts w:ascii="Times New Roman" w:hAnsi="Times New Roman" w:cs="Times New Roman"/>
                <w:sz w:val="22"/>
                <w:szCs w:val="22"/>
              </w:rPr>
              <w:t>). W ramach tego serwisu producent zapewnia dostęp do aktualizacji oprogramowania oraz wsparcie techniczne w trybie 24x7</w:t>
            </w:r>
          </w:p>
          <w:p w14:paraId="3FACE349" w14:textId="77777777" w:rsidR="00FA223D" w:rsidRPr="00357908" w:rsidRDefault="00FA223D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262626"/>
                <w:sz w:val="22"/>
                <w:szCs w:val="22"/>
                <w:highlight w:val="yellow"/>
                <w:shd w:val="clear" w:color="auto" w:fill="FFFFFF"/>
              </w:rPr>
            </w:pPr>
          </w:p>
          <w:p w14:paraId="66983FC8" w14:textId="5038B744" w:rsidR="00FA223D" w:rsidRPr="00357908" w:rsidRDefault="00FA223D" w:rsidP="000B3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908">
              <w:rPr>
                <w:rFonts w:ascii="Times New Roman" w:hAnsi="Times New Roman" w:cs="Times New Roman"/>
                <w:color w:val="262626"/>
                <w:sz w:val="22"/>
                <w:szCs w:val="22"/>
                <w:highlight w:val="yellow"/>
                <w:shd w:val="clear" w:color="auto" w:fill="FFFFFF"/>
              </w:rPr>
              <w:t>[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  <w:t xml:space="preserve">Uwaga! Kryterium punktowane za rozszerzenie gwarancji, wsparcia technicznego i aktualizacyjnego do </w:t>
            </w:r>
            <w:r w:rsidRPr="00357908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highlight w:val="yellow"/>
              </w:rPr>
              <w:t>60</w:t>
            </w:r>
            <w:r w:rsidRPr="00357908"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  <w:t xml:space="preserve"> miesięcy</w:t>
            </w:r>
          </w:p>
        </w:tc>
      </w:tr>
    </w:tbl>
    <w:p w14:paraId="3F91435C" w14:textId="42D1FE4F" w:rsidR="001961E5" w:rsidRPr="00357908" w:rsidRDefault="001961E5" w:rsidP="000B394A">
      <w:pPr>
        <w:rPr>
          <w:rFonts w:ascii="Times New Roman" w:hAnsi="Times New Roman" w:cs="Times New Roman"/>
          <w:sz w:val="22"/>
          <w:szCs w:val="22"/>
          <w:lang w:eastAsia="zh-CN" w:bidi="hi-IN"/>
        </w:rPr>
      </w:pPr>
    </w:p>
    <w:p w14:paraId="453FF91D" w14:textId="77777777" w:rsidR="00874725" w:rsidRPr="00357908" w:rsidRDefault="00874725" w:rsidP="000B394A">
      <w:pPr>
        <w:rPr>
          <w:rFonts w:ascii="Times New Roman" w:hAnsi="Times New Roman" w:cs="Times New Roman"/>
          <w:sz w:val="22"/>
          <w:szCs w:val="22"/>
          <w:lang w:eastAsia="zh-CN" w:bidi="hi-IN"/>
        </w:rPr>
      </w:pPr>
    </w:p>
    <w:sectPr w:rsidR="00874725" w:rsidRPr="00357908" w:rsidSect="00887C7E">
      <w:headerReference w:type="default" r:id="rId10"/>
      <w:pgSz w:w="11906" w:h="16838"/>
      <w:pgMar w:top="1511" w:right="1418" w:bottom="1418" w:left="1418" w:header="41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CBFDC" w14:textId="77777777" w:rsidR="00FF2D44" w:rsidRDefault="00FF2D44" w:rsidP="004161EC">
      <w:r>
        <w:separator/>
      </w:r>
    </w:p>
  </w:endnote>
  <w:endnote w:type="continuationSeparator" w:id="0">
    <w:p w14:paraId="0B27C716" w14:textId="77777777" w:rsidR="00FF2D44" w:rsidRDefault="00FF2D44" w:rsidP="00416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04198E" w14:textId="77777777" w:rsidR="00FF2D44" w:rsidRDefault="00FF2D44" w:rsidP="004161EC">
      <w:r>
        <w:separator/>
      </w:r>
    </w:p>
  </w:footnote>
  <w:footnote w:type="continuationSeparator" w:id="0">
    <w:p w14:paraId="05FC11F3" w14:textId="77777777" w:rsidR="00FF2D44" w:rsidRDefault="00FF2D44" w:rsidP="00416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BE4A8" w14:textId="0D5890A4" w:rsidR="006331AC" w:rsidRDefault="006331AC">
    <w:pPr>
      <w:pStyle w:val="Nagwek"/>
    </w:pPr>
    <w:r w:rsidRPr="004161EC">
      <w:rPr>
        <w:noProof/>
        <w:lang w:eastAsia="pl-PL"/>
      </w:rPr>
      <w:drawing>
        <wp:inline distT="0" distB="0" distL="0" distR="0" wp14:anchorId="19B19987" wp14:editId="2193064E">
          <wp:extent cx="5759450" cy="527685"/>
          <wp:effectExtent l="0" t="0" r="6350" b="5715"/>
          <wp:docPr id="2008385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83855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5276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1359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 w15:restartNumberingAfterBreak="0">
    <w:nsid w:val="09D674EE"/>
    <w:multiLevelType w:val="multilevel"/>
    <w:tmpl w:val="7F322590"/>
    <w:styleLink w:val="snum"/>
    <w:lvl w:ilvl="0">
      <w:start w:val="1"/>
      <w:numFmt w:val="decimal"/>
      <w:pStyle w:val="sr1"/>
      <w:lvlText w:val="%1."/>
      <w:lvlJc w:val="left"/>
      <w:pPr>
        <w:ind w:left="567" w:hanging="567"/>
      </w:pPr>
      <w:rPr>
        <w:rFonts w:ascii="Calibri Light" w:hAnsi="Calibri Light" w:hint="default"/>
        <w:b/>
        <w:i w:val="0"/>
        <w:color w:val="auto"/>
        <w:sz w:val="28"/>
      </w:rPr>
    </w:lvl>
    <w:lvl w:ilvl="1">
      <w:start w:val="1"/>
      <w:numFmt w:val="decimal"/>
      <w:pStyle w:val="sr2"/>
      <w:lvlText w:val="%1.%2."/>
      <w:lvlJc w:val="left"/>
      <w:pPr>
        <w:ind w:left="567" w:hanging="567"/>
      </w:pPr>
      <w:rPr>
        <w:rFonts w:ascii="Calibri Light" w:hAnsi="Calibri Light" w:hint="default"/>
        <w:b/>
        <w:i w:val="0"/>
        <w:color w:val="auto"/>
        <w:sz w:val="24"/>
      </w:rPr>
    </w:lvl>
    <w:lvl w:ilvl="2">
      <w:start w:val="1"/>
      <w:numFmt w:val="decimal"/>
      <w:pStyle w:val="sr3"/>
      <w:lvlText w:val="%1.%2.%3."/>
      <w:lvlJc w:val="left"/>
      <w:pPr>
        <w:tabs>
          <w:tab w:val="num" w:pos="1077"/>
        </w:tabs>
        <w:ind w:left="709" w:hanging="709"/>
      </w:pPr>
      <w:rPr>
        <w:rFonts w:ascii="Calibri Light" w:hAnsi="Calibri Light" w:hint="default"/>
        <w:b w:val="0"/>
        <w:i w:val="0"/>
        <w:color w:val="auto"/>
        <w:sz w:val="24"/>
      </w:rPr>
    </w:lvl>
    <w:lvl w:ilvl="3">
      <w:start w:val="1"/>
      <w:numFmt w:val="decimal"/>
      <w:pStyle w:val="sL1"/>
      <w:lvlText w:val="%4)"/>
      <w:lvlJc w:val="right"/>
      <w:pPr>
        <w:ind w:left="425" w:hanging="141"/>
      </w:pPr>
      <w:rPr>
        <w:rFonts w:ascii="Calibri Light" w:hAnsi="Calibri Light" w:hint="default"/>
        <w:color w:val="auto"/>
        <w:sz w:val="24"/>
      </w:rPr>
    </w:lvl>
    <w:lvl w:ilvl="4">
      <w:start w:val="1"/>
      <w:numFmt w:val="lowerLetter"/>
      <w:lvlText w:val="%5)"/>
      <w:lvlJc w:val="right"/>
      <w:pPr>
        <w:ind w:left="851" w:hanging="142"/>
      </w:pPr>
      <w:rPr>
        <w:rFonts w:ascii="Calibri Light" w:hAnsi="Calibri Light" w:hint="default"/>
        <w:color w:val="auto"/>
        <w:sz w:val="24"/>
      </w:rPr>
    </w:lvl>
    <w:lvl w:ilvl="5">
      <w:start w:val="1"/>
      <w:numFmt w:val="lowerRoman"/>
      <w:lvlText w:val="%6."/>
      <w:lvlJc w:val="right"/>
      <w:pPr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1" w:hanging="851"/>
      </w:pPr>
      <w:rPr>
        <w:rFonts w:hint="default"/>
      </w:rPr>
    </w:lvl>
  </w:abstractNum>
  <w:abstractNum w:abstractNumId="2" w15:restartNumberingAfterBreak="0">
    <w:nsid w:val="0F57203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" w15:restartNumberingAfterBreak="0">
    <w:nsid w:val="19575D3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 w15:restartNumberingAfterBreak="0">
    <w:nsid w:val="24010255"/>
    <w:multiLevelType w:val="multilevel"/>
    <w:tmpl w:val="5C5497A8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F74302"/>
    <w:multiLevelType w:val="hybridMultilevel"/>
    <w:tmpl w:val="E36E7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80949"/>
    <w:multiLevelType w:val="hybridMultilevel"/>
    <w:tmpl w:val="A6F6DD20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32B3298"/>
    <w:multiLevelType w:val="multilevel"/>
    <w:tmpl w:val="7F322590"/>
    <w:numStyleLink w:val="snum"/>
  </w:abstractNum>
  <w:abstractNum w:abstractNumId="8" w15:restartNumberingAfterBreak="0">
    <w:nsid w:val="34FE2E0E"/>
    <w:multiLevelType w:val="multilevel"/>
    <w:tmpl w:val="0EF2A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B2F2A3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78417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" w15:restartNumberingAfterBreak="0">
    <w:nsid w:val="63BF51D8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C567F5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4" w15:restartNumberingAfterBreak="0">
    <w:nsid w:val="6FEC0146"/>
    <w:multiLevelType w:val="hybridMultilevel"/>
    <w:tmpl w:val="A6F6DD20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7A4B5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 w16cid:durableId="1383287492">
    <w:abstractNumId w:val="12"/>
  </w:num>
  <w:num w:numId="2" w16cid:durableId="755785138">
    <w:abstractNumId w:val="1"/>
  </w:num>
  <w:num w:numId="3" w16cid:durableId="1845195555">
    <w:abstractNumId w:val="7"/>
    <w:lvlOverride w:ilvl="0">
      <w:lvl w:ilvl="0">
        <w:start w:val="1"/>
        <w:numFmt w:val="decimal"/>
        <w:pStyle w:val="sr1"/>
        <w:lvlText w:val="%1."/>
        <w:lvlJc w:val="left"/>
        <w:pPr>
          <w:ind w:left="644" w:hanging="360"/>
        </w:pPr>
      </w:lvl>
    </w:lvlOverride>
    <w:lvlOverride w:ilvl="1">
      <w:lvl w:ilvl="1" w:tentative="1">
        <w:start w:val="1"/>
        <w:numFmt w:val="lowerLetter"/>
        <w:pStyle w:val="sr2"/>
        <w:lvlText w:val="%2."/>
        <w:lvlJc w:val="left"/>
        <w:pPr>
          <w:ind w:left="1364" w:hanging="360"/>
        </w:pPr>
      </w:lvl>
    </w:lvlOverride>
    <w:lvlOverride w:ilvl="2">
      <w:lvl w:ilvl="2">
        <w:start w:val="1"/>
        <w:numFmt w:val="lowerRoman"/>
        <w:pStyle w:val="sr3"/>
        <w:lvlText w:val="%3."/>
        <w:lvlJc w:val="right"/>
        <w:pPr>
          <w:ind w:left="2084" w:hanging="180"/>
        </w:pPr>
      </w:lvl>
    </w:lvlOverride>
    <w:lvlOverride w:ilvl="3">
      <w:lvl w:ilvl="3">
        <w:start w:val="1"/>
        <w:numFmt w:val="decimal"/>
        <w:pStyle w:val="sL1"/>
        <w:lvlText w:val="%4."/>
        <w:lvlJc w:val="left"/>
        <w:pPr>
          <w:ind w:left="2804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524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244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964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684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04" w:hanging="180"/>
        </w:pPr>
      </w:lvl>
    </w:lvlOverride>
  </w:num>
  <w:num w:numId="4" w16cid:durableId="1581334147">
    <w:abstractNumId w:val="4"/>
  </w:num>
  <w:num w:numId="5" w16cid:durableId="1927496622">
    <w:abstractNumId w:val="10"/>
  </w:num>
  <w:num w:numId="6" w16cid:durableId="401684819">
    <w:abstractNumId w:val="15"/>
  </w:num>
  <w:num w:numId="7" w16cid:durableId="1106463442">
    <w:abstractNumId w:val="8"/>
  </w:num>
  <w:num w:numId="8" w16cid:durableId="1026951707">
    <w:abstractNumId w:val="5"/>
  </w:num>
  <w:num w:numId="9" w16cid:durableId="1702123743">
    <w:abstractNumId w:val="11"/>
  </w:num>
  <w:num w:numId="10" w16cid:durableId="1879733232">
    <w:abstractNumId w:val="0"/>
  </w:num>
  <w:num w:numId="11" w16cid:durableId="483546451">
    <w:abstractNumId w:val="3"/>
  </w:num>
  <w:num w:numId="12" w16cid:durableId="1881473914">
    <w:abstractNumId w:val="9"/>
  </w:num>
  <w:num w:numId="13" w16cid:durableId="1108934779">
    <w:abstractNumId w:val="16"/>
  </w:num>
  <w:num w:numId="14" w16cid:durableId="58982874">
    <w:abstractNumId w:val="13"/>
  </w:num>
  <w:num w:numId="15" w16cid:durableId="607856762">
    <w:abstractNumId w:val="6"/>
  </w:num>
  <w:num w:numId="16" w16cid:durableId="1452094488">
    <w:abstractNumId w:val="14"/>
  </w:num>
  <w:num w:numId="17" w16cid:durableId="860900411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663"/>
    <w:rsid w:val="00014ADE"/>
    <w:rsid w:val="00024D55"/>
    <w:rsid w:val="00027C11"/>
    <w:rsid w:val="00050E14"/>
    <w:rsid w:val="00064AA7"/>
    <w:rsid w:val="00065584"/>
    <w:rsid w:val="00074726"/>
    <w:rsid w:val="00084458"/>
    <w:rsid w:val="00091341"/>
    <w:rsid w:val="00094B4E"/>
    <w:rsid w:val="000B394A"/>
    <w:rsid w:val="000C5862"/>
    <w:rsid w:val="000D67AA"/>
    <w:rsid w:val="000F1D36"/>
    <w:rsid w:val="0011450A"/>
    <w:rsid w:val="00116C23"/>
    <w:rsid w:val="00127206"/>
    <w:rsid w:val="00143D45"/>
    <w:rsid w:val="00150992"/>
    <w:rsid w:val="00166368"/>
    <w:rsid w:val="00170633"/>
    <w:rsid w:val="00171887"/>
    <w:rsid w:val="0018295F"/>
    <w:rsid w:val="001829AC"/>
    <w:rsid w:val="00182F24"/>
    <w:rsid w:val="0019379B"/>
    <w:rsid w:val="00193B15"/>
    <w:rsid w:val="00193F9D"/>
    <w:rsid w:val="001959DE"/>
    <w:rsid w:val="001961E5"/>
    <w:rsid w:val="0019626E"/>
    <w:rsid w:val="001A2F0C"/>
    <w:rsid w:val="001A6C3F"/>
    <w:rsid w:val="001B2071"/>
    <w:rsid w:val="001B5180"/>
    <w:rsid w:val="001D27FD"/>
    <w:rsid w:val="001D52E3"/>
    <w:rsid w:val="001D534F"/>
    <w:rsid w:val="001E292C"/>
    <w:rsid w:val="00215DBD"/>
    <w:rsid w:val="00234FA9"/>
    <w:rsid w:val="002367E6"/>
    <w:rsid w:val="002517F5"/>
    <w:rsid w:val="00253220"/>
    <w:rsid w:val="00253B2B"/>
    <w:rsid w:val="00265E0C"/>
    <w:rsid w:val="00267849"/>
    <w:rsid w:val="00287A6F"/>
    <w:rsid w:val="002946A9"/>
    <w:rsid w:val="002A452B"/>
    <w:rsid w:val="002C36B7"/>
    <w:rsid w:val="002E10DC"/>
    <w:rsid w:val="00301AC4"/>
    <w:rsid w:val="00320F69"/>
    <w:rsid w:val="0032758F"/>
    <w:rsid w:val="00330702"/>
    <w:rsid w:val="003350AB"/>
    <w:rsid w:val="00357908"/>
    <w:rsid w:val="00365A30"/>
    <w:rsid w:val="003767EA"/>
    <w:rsid w:val="00382186"/>
    <w:rsid w:val="00383FF9"/>
    <w:rsid w:val="00390038"/>
    <w:rsid w:val="003A552B"/>
    <w:rsid w:val="003B0102"/>
    <w:rsid w:val="003D32C7"/>
    <w:rsid w:val="003E623F"/>
    <w:rsid w:val="003F4A44"/>
    <w:rsid w:val="004012FE"/>
    <w:rsid w:val="00410613"/>
    <w:rsid w:val="004161EC"/>
    <w:rsid w:val="00416ADF"/>
    <w:rsid w:val="004301E5"/>
    <w:rsid w:val="00431CBA"/>
    <w:rsid w:val="00433F6A"/>
    <w:rsid w:val="00440177"/>
    <w:rsid w:val="00464E3C"/>
    <w:rsid w:val="00471273"/>
    <w:rsid w:val="0048761F"/>
    <w:rsid w:val="00497174"/>
    <w:rsid w:val="004B0C27"/>
    <w:rsid w:val="004E3B9D"/>
    <w:rsid w:val="004F07A7"/>
    <w:rsid w:val="004F4DDD"/>
    <w:rsid w:val="004F5450"/>
    <w:rsid w:val="00520799"/>
    <w:rsid w:val="005475A1"/>
    <w:rsid w:val="00564D07"/>
    <w:rsid w:val="00586CFB"/>
    <w:rsid w:val="005903FC"/>
    <w:rsid w:val="00593A3A"/>
    <w:rsid w:val="005A5C45"/>
    <w:rsid w:val="005B3752"/>
    <w:rsid w:val="005F11B2"/>
    <w:rsid w:val="00606454"/>
    <w:rsid w:val="00610C3B"/>
    <w:rsid w:val="006110E9"/>
    <w:rsid w:val="0061245F"/>
    <w:rsid w:val="00623411"/>
    <w:rsid w:val="006331AC"/>
    <w:rsid w:val="006A50C0"/>
    <w:rsid w:val="006C4631"/>
    <w:rsid w:val="006D25DA"/>
    <w:rsid w:val="006D3DAE"/>
    <w:rsid w:val="006D7297"/>
    <w:rsid w:val="006E1457"/>
    <w:rsid w:val="006E3842"/>
    <w:rsid w:val="006F1624"/>
    <w:rsid w:val="00707270"/>
    <w:rsid w:val="00715EDE"/>
    <w:rsid w:val="00735904"/>
    <w:rsid w:val="007445D9"/>
    <w:rsid w:val="00760256"/>
    <w:rsid w:val="00772FAC"/>
    <w:rsid w:val="007741D3"/>
    <w:rsid w:val="0078153C"/>
    <w:rsid w:val="00787AC1"/>
    <w:rsid w:val="007A2D5F"/>
    <w:rsid w:val="007A793D"/>
    <w:rsid w:val="007C1C2A"/>
    <w:rsid w:val="007C55B4"/>
    <w:rsid w:val="007C5FE7"/>
    <w:rsid w:val="007C7A1B"/>
    <w:rsid w:val="007E500B"/>
    <w:rsid w:val="007F4AEB"/>
    <w:rsid w:val="007F7DBA"/>
    <w:rsid w:val="0080105D"/>
    <w:rsid w:val="008057EF"/>
    <w:rsid w:val="00814373"/>
    <w:rsid w:val="00826DD4"/>
    <w:rsid w:val="008317E6"/>
    <w:rsid w:val="008358B6"/>
    <w:rsid w:val="008523CC"/>
    <w:rsid w:val="00855604"/>
    <w:rsid w:val="00874725"/>
    <w:rsid w:val="00884062"/>
    <w:rsid w:val="00884C92"/>
    <w:rsid w:val="00885BDD"/>
    <w:rsid w:val="00887C7E"/>
    <w:rsid w:val="008B3CEA"/>
    <w:rsid w:val="008C305F"/>
    <w:rsid w:val="008E7640"/>
    <w:rsid w:val="00904D0E"/>
    <w:rsid w:val="00911159"/>
    <w:rsid w:val="00930605"/>
    <w:rsid w:val="00950AE6"/>
    <w:rsid w:val="00953D32"/>
    <w:rsid w:val="009631BD"/>
    <w:rsid w:val="0099004A"/>
    <w:rsid w:val="009A34F6"/>
    <w:rsid w:val="009A4663"/>
    <w:rsid w:val="009A47F7"/>
    <w:rsid w:val="009D3981"/>
    <w:rsid w:val="009D3E3B"/>
    <w:rsid w:val="009F471B"/>
    <w:rsid w:val="00A00AEB"/>
    <w:rsid w:val="00A27A63"/>
    <w:rsid w:val="00A300B3"/>
    <w:rsid w:val="00A30F5D"/>
    <w:rsid w:val="00A3277C"/>
    <w:rsid w:val="00A358E3"/>
    <w:rsid w:val="00A40482"/>
    <w:rsid w:val="00A40A03"/>
    <w:rsid w:val="00A73B7A"/>
    <w:rsid w:val="00A75C4D"/>
    <w:rsid w:val="00AA0DB4"/>
    <w:rsid w:val="00AA1BA3"/>
    <w:rsid w:val="00AA467D"/>
    <w:rsid w:val="00AB52C0"/>
    <w:rsid w:val="00AC4DE9"/>
    <w:rsid w:val="00AC64A1"/>
    <w:rsid w:val="00B27225"/>
    <w:rsid w:val="00B34C46"/>
    <w:rsid w:val="00B5348D"/>
    <w:rsid w:val="00B70CF8"/>
    <w:rsid w:val="00B71F0B"/>
    <w:rsid w:val="00BA5C7A"/>
    <w:rsid w:val="00BC2869"/>
    <w:rsid w:val="00BC3B0F"/>
    <w:rsid w:val="00BC5C1D"/>
    <w:rsid w:val="00BE02B2"/>
    <w:rsid w:val="00BF5D86"/>
    <w:rsid w:val="00C00FF0"/>
    <w:rsid w:val="00C018AE"/>
    <w:rsid w:val="00C30857"/>
    <w:rsid w:val="00C308FC"/>
    <w:rsid w:val="00C5125F"/>
    <w:rsid w:val="00C7518C"/>
    <w:rsid w:val="00C75928"/>
    <w:rsid w:val="00C77C57"/>
    <w:rsid w:val="00C856DD"/>
    <w:rsid w:val="00CA594E"/>
    <w:rsid w:val="00CA709D"/>
    <w:rsid w:val="00CD46BE"/>
    <w:rsid w:val="00CF234F"/>
    <w:rsid w:val="00CF5998"/>
    <w:rsid w:val="00D03CE4"/>
    <w:rsid w:val="00D05B25"/>
    <w:rsid w:val="00D126D5"/>
    <w:rsid w:val="00D162C8"/>
    <w:rsid w:val="00D205AF"/>
    <w:rsid w:val="00D24B97"/>
    <w:rsid w:val="00D322E4"/>
    <w:rsid w:val="00D34C96"/>
    <w:rsid w:val="00D40D14"/>
    <w:rsid w:val="00D717AC"/>
    <w:rsid w:val="00D735C2"/>
    <w:rsid w:val="00D75C3C"/>
    <w:rsid w:val="00D7773C"/>
    <w:rsid w:val="00D91B42"/>
    <w:rsid w:val="00D94704"/>
    <w:rsid w:val="00DB0C80"/>
    <w:rsid w:val="00DC1643"/>
    <w:rsid w:val="00DC404D"/>
    <w:rsid w:val="00DF5980"/>
    <w:rsid w:val="00E179B3"/>
    <w:rsid w:val="00E23049"/>
    <w:rsid w:val="00E35307"/>
    <w:rsid w:val="00E42E21"/>
    <w:rsid w:val="00E436BF"/>
    <w:rsid w:val="00E67816"/>
    <w:rsid w:val="00E77CFB"/>
    <w:rsid w:val="00E828F5"/>
    <w:rsid w:val="00E927A7"/>
    <w:rsid w:val="00EA0898"/>
    <w:rsid w:val="00ED575A"/>
    <w:rsid w:val="00EF401D"/>
    <w:rsid w:val="00EF6542"/>
    <w:rsid w:val="00F21EDA"/>
    <w:rsid w:val="00F24466"/>
    <w:rsid w:val="00F52858"/>
    <w:rsid w:val="00F65BC4"/>
    <w:rsid w:val="00F72EE9"/>
    <w:rsid w:val="00F854F1"/>
    <w:rsid w:val="00F93AE4"/>
    <w:rsid w:val="00FA223D"/>
    <w:rsid w:val="00FB0C70"/>
    <w:rsid w:val="00FC232B"/>
    <w:rsid w:val="00FC47DA"/>
    <w:rsid w:val="00FD262F"/>
    <w:rsid w:val="00FE2341"/>
    <w:rsid w:val="00FF04E6"/>
    <w:rsid w:val="00FF2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5A47B"/>
  <w15:chartTrackingRefBased/>
  <w15:docId w15:val="{04F64709-6BA2-D74C-82CF-011F5FAD1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816"/>
  </w:style>
  <w:style w:type="paragraph" w:styleId="Nagwek1">
    <w:name w:val="heading 1"/>
    <w:basedOn w:val="Normalny"/>
    <w:next w:val="Normalny"/>
    <w:link w:val="Nagwek1Znak"/>
    <w:uiPriority w:val="9"/>
    <w:qFormat/>
    <w:rsid w:val="00715EDE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15EDE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15EDE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15ED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15ED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15ED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15ED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15ED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15ED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L1,sw tekst,Akapit z listą5,normalny tekst,lp1,Preambuła,Lista num,HŁ_Bullet1,Bulleted list,Colorful Shading - Accent 31,Light List - Accent 51,Kolorowa lista — akcent 11,Akapit normalny,Obiekt"/>
    <w:basedOn w:val="Normalny"/>
    <w:link w:val="AkapitzlistZnak"/>
    <w:uiPriority w:val="34"/>
    <w:qFormat/>
    <w:rsid w:val="009A4663"/>
    <w:pPr>
      <w:spacing w:after="160" w:line="259" w:lineRule="auto"/>
      <w:ind w:left="720"/>
      <w:contextualSpacing/>
      <w:jc w:val="both"/>
    </w:pPr>
    <w:rPr>
      <w:rFonts w:ascii="Garamond" w:eastAsia="MS Mincho" w:hAnsi="Garamond"/>
      <w:kern w:val="0"/>
      <w:sz w:val="20"/>
      <w:szCs w:val="22"/>
      <w14:ligatures w14:val="none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lp1 Znak,Preambuła Znak,Lista num Znak,HŁ_Bullet1 Znak,Bulleted list Znak,Colorful Shading - Accent 31 Znak"/>
    <w:link w:val="Akapitzlist"/>
    <w:uiPriority w:val="34"/>
    <w:qFormat/>
    <w:rsid w:val="009A4663"/>
    <w:rPr>
      <w:rFonts w:ascii="Garamond" w:eastAsia="MS Mincho" w:hAnsi="Garamond"/>
      <w:kern w:val="0"/>
      <w:sz w:val="20"/>
      <w:szCs w:val="22"/>
      <w14:ligatures w14:val="none"/>
    </w:rPr>
  </w:style>
  <w:style w:type="paragraph" w:customStyle="1" w:styleId="Default">
    <w:name w:val="Default"/>
    <w:rsid w:val="009A4663"/>
    <w:pPr>
      <w:autoSpaceDE w:val="0"/>
      <w:autoSpaceDN w:val="0"/>
      <w:adjustRightInd w:val="0"/>
    </w:pPr>
    <w:rPr>
      <w:rFonts w:ascii="Symbol" w:hAnsi="Symbol" w:cs="Symbol"/>
      <w:color w:val="000000"/>
      <w:kern w:val="0"/>
      <w14:ligatures w14:val="none"/>
    </w:rPr>
  </w:style>
  <w:style w:type="table" w:styleId="Zwykatabela1">
    <w:name w:val="Plain Table 1"/>
    <w:basedOn w:val="Standardowy"/>
    <w:uiPriority w:val="41"/>
    <w:rsid w:val="009A4663"/>
    <w:rPr>
      <w:rFonts w:eastAsia="MS Mincho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atki1jasnaakcent1">
    <w:name w:val="Grid Table 1 Light Accent 1"/>
    <w:basedOn w:val="Standardowy"/>
    <w:uiPriority w:val="46"/>
    <w:rsid w:val="009A4663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uiPriority w:val="9"/>
    <w:rsid w:val="00715E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15ED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15EDE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15ED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15EDE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15EDE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15ED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15ED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15ED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sL1">
    <w:name w:val="s_L1"/>
    <w:basedOn w:val="Akapitzlist"/>
    <w:qFormat/>
    <w:rsid w:val="00715EDE"/>
    <w:pPr>
      <w:numPr>
        <w:ilvl w:val="3"/>
        <w:numId w:val="3"/>
      </w:numPr>
      <w:tabs>
        <w:tab w:val="left" w:pos="426"/>
      </w:tabs>
      <w:spacing w:after="0" w:line="276" w:lineRule="auto"/>
    </w:pPr>
    <w:rPr>
      <w:rFonts w:ascii="Calibri Light" w:eastAsiaTheme="minorHAnsi" w:hAnsi="Calibri Light"/>
      <w:color w:val="000000"/>
      <w:sz w:val="24"/>
      <w:szCs w:val="20"/>
    </w:rPr>
  </w:style>
  <w:style w:type="numbering" w:customStyle="1" w:styleId="snum">
    <w:name w:val="s_num"/>
    <w:uiPriority w:val="99"/>
    <w:rsid w:val="00715EDE"/>
    <w:pPr>
      <w:numPr>
        <w:numId w:val="2"/>
      </w:numPr>
    </w:pPr>
  </w:style>
  <w:style w:type="paragraph" w:customStyle="1" w:styleId="sr1">
    <w:name w:val="s_r1"/>
    <w:basedOn w:val="Normalny"/>
    <w:qFormat/>
    <w:rsid w:val="00715EDE"/>
    <w:pPr>
      <w:numPr>
        <w:numId w:val="3"/>
      </w:numPr>
      <w:spacing w:after="120" w:line="276" w:lineRule="auto"/>
      <w:jc w:val="both"/>
      <w:outlineLvl w:val="0"/>
    </w:pPr>
    <w:rPr>
      <w:rFonts w:ascii="Calibri Light" w:hAnsi="Calibri Light"/>
      <w:b/>
      <w:caps/>
      <w:color w:val="000000"/>
      <w:kern w:val="0"/>
      <w:sz w:val="28"/>
      <w:szCs w:val="28"/>
      <w14:textFill>
        <w14:solidFill>
          <w14:srgbClr w14:val="000000">
            <w14:lumMod w14:val="50000"/>
          </w14:srgbClr>
        </w14:solidFill>
      </w14:textFill>
      <w14:ligatures w14:val="none"/>
    </w:rPr>
  </w:style>
  <w:style w:type="paragraph" w:customStyle="1" w:styleId="sr2">
    <w:name w:val="s_r2"/>
    <w:basedOn w:val="Normalny"/>
    <w:qFormat/>
    <w:rsid w:val="00715EDE"/>
    <w:pPr>
      <w:numPr>
        <w:ilvl w:val="1"/>
        <w:numId w:val="3"/>
      </w:numPr>
      <w:spacing w:before="120" w:after="120" w:line="276" w:lineRule="auto"/>
      <w:outlineLvl w:val="1"/>
    </w:pPr>
    <w:rPr>
      <w:rFonts w:ascii="Calibri Light" w:hAnsi="Calibri Light"/>
      <w:b/>
      <w:color w:val="000000"/>
      <w:kern w:val="0"/>
      <w:szCs w:val="20"/>
      <w14:textFill>
        <w14:solidFill>
          <w14:srgbClr w14:val="000000">
            <w14:lumMod w14:val="50000"/>
          </w14:srgbClr>
        </w14:solidFill>
      </w14:textFill>
      <w14:ligatures w14:val="none"/>
    </w:rPr>
  </w:style>
  <w:style w:type="paragraph" w:customStyle="1" w:styleId="sr3">
    <w:name w:val="s_r3"/>
    <w:qFormat/>
    <w:rsid w:val="00715EDE"/>
    <w:pPr>
      <w:numPr>
        <w:ilvl w:val="2"/>
        <w:numId w:val="3"/>
      </w:numPr>
      <w:spacing w:before="360" w:after="240" w:line="276" w:lineRule="auto"/>
      <w:jc w:val="both"/>
    </w:pPr>
    <w:rPr>
      <w:rFonts w:ascii="Calibri Light" w:hAnsi="Calibri Light"/>
      <w:kern w:val="0"/>
      <w14:ligatures w14:val="none"/>
    </w:rPr>
  </w:style>
  <w:style w:type="table" w:styleId="Tabela-Siatka">
    <w:name w:val="Table Grid"/>
    <w:basedOn w:val="Standardowy"/>
    <w:uiPriority w:val="39"/>
    <w:rsid w:val="00715E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B2071"/>
  </w:style>
  <w:style w:type="numbering" w:customStyle="1" w:styleId="Biecalista1">
    <w:name w:val="Bieżąca lista1"/>
    <w:uiPriority w:val="99"/>
    <w:rsid w:val="00193B15"/>
    <w:pPr>
      <w:numPr>
        <w:numId w:val="4"/>
      </w:numPr>
    </w:pPr>
  </w:style>
  <w:style w:type="paragraph" w:styleId="NormalnyWeb">
    <w:name w:val="Normal (Web)"/>
    <w:basedOn w:val="Normalny"/>
    <w:unhideWhenUsed/>
    <w:rsid w:val="0009134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pple-converted-space">
    <w:name w:val="apple-converted-space"/>
    <w:basedOn w:val="Domylnaczcionkaakapitu"/>
    <w:rsid w:val="00091341"/>
  </w:style>
  <w:style w:type="character" w:customStyle="1" w:styleId="apple-tab-span">
    <w:name w:val="apple-tab-span"/>
    <w:basedOn w:val="Domylnaczcionkaakapitu"/>
    <w:rsid w:val="00D7773C"/>
  </w:style>
  <w:style w:type="paragraph" w:styleId="Nagwekspisutreci">
    <w:name w:val="TOC Heading"/>
    <w:basedOn w:val="Nagwek1"/>
    <w:next w:val="Normalny"/>
    <w:uiPriority w:val="39"/>
    <w:unhideWhenUsed/>
    <w:qFormat/>
    <w:rsid w:val="001829AC"/>
    <w:pPr>
      <w:numPr>
        <w:numId w:val="0"/>
      </w:numPr>
      <w:spacing w:before="480" w:line="276" w:lineRule="auto"/>
      <w:outlineLvl w:val="9"/>
    </w:pPr>
    <w:rPr>
      <w:b/>
      <w:bCs/>
      <w:kern w:val="0"/>
      <w:sz w:val="28"/>
      <w:szCs w:val="28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0B394A"/>
    <w:pPr>
      <w:tabs>
        <w:tab w:val="left" w:pos="480"/>
        <w:tab w:val="right" w:leader="dot" w:pos="9060"/>
      </w:tabs>
      <w:spacing w:before="120" w:after="120"/>
    </w:pPr>
    <w:rPr>
      <w:rFonts w:cstheme="minorHAnsi"/>
      <w:b/>
      <w:bCs/>
      <w:cap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1829AC"/>
    <w:rPr>
      <w:color w:val="0563C1" w:themeColor="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1829AC"/>
    <w:pPr>
      <w:ind w:left="240"/>
    </w:pPr>
    <w:rPr>
      <w:rFonts w:cs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1829AC"/>
    <w:pPr>
      <w:ind w:left="480"/>
    </w:pPr>
    <w:rPr>
      <w:rFonts w:cs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1829AC"/>
    <w:pPr>
      <w:ind w:left="72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1829AC"/>
    <w:pPr>
      <w:ind w:left="96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1829AC"/>
    <w:pPr>
      <w:ind w:left="12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1829AC"/>
    <w:pPr>
      <w:ind w:left="144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1829AC"/>
    <w:pPr>
      <w:ind w:left="168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1829AC"/>
    <w:pPr>
      <w:ind w:left="1920"/>
    </w:pPr>
    <w:rPr>
      <w:rFonts w:cstheme="minorHAns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161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61EC"/>
  </w:style>
  <w:style w:type="paragraph" w:styleId="Stopka">
    <w:name w:val="footer"/>
    <w:basedOn w:val="Normalny"/>
    <w:link w:val="StopkaZnak"/>
    <w:uiPriority w:val="99"/>
    <w:unhideWhenUsed/>
    <w:rsid w:val="004161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61EC"/>
  </w:style>
  <w:style w:type="character" w:customStyle="1" w:styleId="pointnormal">
    <w:name w:val="point_normal"/>
    <w:basedOn w:val="Domylnaczcionkaakapitu"/>
    <w:rsid w:val="00B34C46"/>
  </w:style>
  <w:style w:type="character" w:styleId="Odwoaniedokomentarza">
    <w:name w:val="annotation reference"/>
    <w:basedOn w:val="Domylnaczcionkaakapitu"/>
    <w:uiPriority w:val="99"/>
    <w:semiHidden/>
    <w:unhideWhenUsed/>
    <w:rsid w:val="007E50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500B"/>
    <w:pPr>
      <w:spacing w:after="160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500B"/>
    <w:rPr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50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00B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DE"/>
    <w:pPr>
      <w:spacing w:after="0"/>
    </w:pPr>
    <w:rPr>
      <w:b/>
      <w:bCs/>
      <w:kern w:val="2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DE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6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0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0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5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7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0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86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93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3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21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31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90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3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79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85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03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28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0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0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34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5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33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88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79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56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9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65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87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84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89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48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6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1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ec.org/cpu2017/result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pubenchmark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1685426-99BC-4E12-B492-AB0231303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17</Pages>
  <Words>6688</Words>
  <Characters>40131</Characters>
  <Application>Microsoft Office Word</Application>
  <DocSecurity>0</DocSecurity>
  <Lines>334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46726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Natalia Brydzińska</cp:lastModifiedBy>
  <cp:revision>3</cp:revision>
  <cp:lastPrinted>2024-12-11T13:02:00Z</cp:lastPrinted>
  <dcterms:created xsi:type="dcterms:W3CDTF">2024-06-18T12:03:00Z</dcterms:created>
  <dcterms:modified xsi:type="dcterms:W3CDTF">2024-12-11T13:02:00Z</dcterms:modified>
  <cp:category/>
</cp:coreProperties>
</file>