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006D3" w14:textId="1DCBA293" w:rsidR="00BE44D0" w:rsidRDefault="00BD7BB2">
      <w:r>
        <w:t>Załącznik Nr 3 do Uchwały Nr ….. Rady Gminy Milejewo z dnia ………..grudnia 2024r. w sprawie Wieloletniej Prognozy Finansowej Gminy Milejewo na lata 2025-2028</w:t>
      </w:r>
    </w:p>
    <w:p w14:paraId="3A23338C" w14:textId="77777777" w:rsidR="00BD7BB2" w:rsidRDefault="00BD7BB2"/>
    <w:p w14:paraId="2859948D" w14:textId="77777777" w:rsidR="00BD7BB2" w:rsidRDefault="00BD7BB2"/>
    <w:p w14:paraId="3A154A98" w14:textId="11671380" w:rsidR="00BD7BB2" w:rsidRPr="00151AD8" w:rsidRDefault="00BD7BB2" w:rsidP="00BD7BB2">
      <w:pPr>
        <w:jc w:val="center"/>
        <w:rPr>
          <w:b/>
          <w:bCs/>
        </w:rPr>
      </w:pPr>
      <w:r w:rsidRPr="00151AD8">
        <w:rPr>
          <w:b/>
          <w:bCs/>
        </w:rPr>
        <w:t>OBJAŚNIENIA</w:t>
      </w:r>
    </w:p>
    <w:p w14:paraId="23555725" w14:textId="7290FBF1" w:rsidR="00BD7BB2" w:rsidRPr="00151AD8" w:rsidRDefault="00BD7BB2" w:rsidP="00151AD8">
      <w:pPr>
        <w:jc w:val="center"/>
        <w:rPr>
          <w:b/>
          <w:bCs/>
        </w:rPr>
      </w:pPr>
      <w:r w:rsidRPr="00151AD8">
        <w:rPr>
          <w:b/>
          <w:bCs/>
        </w:rPr>
        <w:t>Do wieloletniej prognozy finansowej Gminy Milejewo na lata 2025-2028</w:t>
      </w:r>
    </w:p>
    <w:p w14:paraId="08427C23" w14:textId="77777777" w:rsidR="00BD7BB2" w:rsidRDefault="00BD7BB2" w:rsidP="00BD7BB2">
      <w:pPr>
        <w:jc w:val="both"/>
      </w:pPr>
    </w:p>
    <w:p w14:paraId="314A03B5" w14:textId="0BC15F4A" w:rsidR="00BD7BB2" w:rsidRDefault="00BD7BB2" w:rsidP="00151AD8">
      <w:pPr>
        <w:ind w:firstLine="708"/>
        <w:jc w:val="both"/>
      </w:pPr>
      <w:r>
        <w:t>Wieloletnia prognoza finansowa (WPF) Gminy Milejewo została sporządzona zgodnie z regulacją art. 226-232 ustawy z dnia 27 sierpnia 2009r. o finansach publicznych. Swoim zakresem obejmuje lata 2025-2028 co wynika z ujęcia prognozy</w:t>
      </w:r>
      <w:r w:rsidR="009458E6">
        <w:t xml:space="preserve"> zgonie z  art. 227 ustawy o finansach publicznych</w:t>
      </w:r>
      <w:r>
        <w:t xml:space="preserve">. Załączniki nr 1 oraz nr 2 zostały </w:t>
      </w:r>
      <w:r w:rsidR="00BC5DDA">
        <w:t>sporządzone</w:t>
      </w:r>
      <w:r>
        <w:t xml:space="preserve"> zgodnie z wzorem WPF jednostki samorządu terytorialnego do rozporządzenia Ministra Finansów z dnia 10 stycznia 2013 z sprawie wieloletniej prognozy finansowej jednostki samorządu tery</w:t>
      </w:r>
      <w:r w:rsidR="00D4547C">
        <w:t>tori</w:t>
      </w:r>
      <w:r>
        <w:t>alnego</w:t>
      </w:r>
      <w:r w:rsidR="00D4547C">
        <w:t xml:space="preserve">. </w:t>
      </w:r>
      <w:r>
        <w:t>Załącznik nr 1 obejmuje swoim horyzontem czasowym projekt 2025 roku oraz prognozę na lata 2026-2028.</w:t>
      </w:r>
    </w:p>
    <w:p w14:paraId="306768FB" w14:textId="215D3A14" w:rsidR="00BD7BB2" w:rsidRDefault="00BD7BB2" w:rsidP="00BD7BB2">
      <w:pPr>
        <w:jc w:val="both"/>
      </w:pPr>
      <w:r>
        <w:tab/>
        <w:t xml:space="preserve">Podstawową zasadą obowiązującą w trakcie konstruowania WPF jest prowadzenie równolegle prac nad uchwałą budżetową w celu zapewnienia ich wzajemnej zgodności. Wartości przyjęte w WPF i uchwale budżetowej powinny być zgodne co najmniej w zakresie wyniku budżetu i związanych z nim kwot przychodów i rozchodów oraz długu gminy. Prezentowany projekt WPF </w:t>
      </w:r>
      <w:r w:rsidR="00166875">
        <w:t>jest zgodny z projektem w horyzoncie czasowym do 2028 roku. W latach objętych WPF poziom dochodów i wydatków oszacowano w oparciu o trendy historyczne poszczególnych źródeł dochodów i kategorii wydatków Gminy w latach ubiegłych, założenia makroekonomiczne na potrzeby WPF ujmując do planowania wskaźniki makroekonomiczne oraz także wartości wynikające z lat ubiegłych oraz obowiązujących przepisów prawa z uwzględnieniem regulacji szczególnych. Proces prognozowania dokumentu strategicznego jakim jest Wieloletnia Prognoza Finansowa Gminy został podzielony na etapy, z których najważniejsze były:</w:t>
      </w:r>
    </w:p>
    <w:p w14:paraId="0BD4EF59" w14:textId="16F06D30" w:rsidR="00166875" w:rsidRDefault="00166875" w:rsidP="00166875">
      <w:pPr>
        <w:pStyle w:val="Akapitzlist"/>
        <w:numPr>
          <w:ilvl w:val="0"/>
          <w:numId w:val="1"/>
        </w:numPr>
        <w:jc w:val="both"/>
      </w:pPr>
      <w:r>
        <w:t>Określenie celu planowania i przedziału czasowego prognozy</w:t>
      </w:r>
    </w:p>
    <w:p w14:paraId="3C100537" w14:textId="30A3ABC4" w:rsidR="00166875" w:rsidRDefault="00166875" w:rsidP="00166875">
      <w:pPr>
        <w:pStyle w:val="Akapitzlist"/>
        <w:numPr>
          <w:ilvl w:val="0"/>
          <w:numId w:val="1"/>
        </w:numPr>
        <w:jc w:val="both"/>
      </w:pPr>
      <w:r>
        <w:t>Usystematyzowanie czynników mikro i makroekonomicznych mających wpływ na planowane wielkości</w:t>
      </w:r>
    </w:p>
    <w:p w14:paraId="589E4F8A" w14:textId="0BF236B0" w:rsidR="00166875" w:rsidRDefault="00166875" w:rsidP="00166875">
      <w:pPr>
        <w:pStyle w:val="Akapitzlist"/>
        <w:numPr>
          <w:ilvl w:val="0"/>
          <w:numId w:val="1"/>
        </w:numPr>
        <w:jc w:val="both"/>
      </w:pPr>
      <w:r>
        <w:t>Dokonanie wyboru metody planow</w:t>
      </w:r>
      <w:r w:rsidR="00D95469">
        <w:t>a</w:t>
      </w:r>
      <w:r>
        <w:t>nia i zbudowanie modelu planowania</w:t>
      </w:r>
    </w:p>
    <w:p w14:paraId="13EE13D6" w14:textId="6F6BD9C4" w:rsidR="00166875" w:rsidRDefault="00166875" w:rsidP="00166875">
      <w:pPr>
        <w:pStyle w:val="Akapitzlist"/>
        <w:numPr>
          <w:ilvl w:val="0"/>
          <w:numId w:val="1"/>
        </w:numPr>
        <w:jc w:val="both"/>
      </w:pPr>
      <w:r>
        <w:t>Przedstawienie prognozy długookresowej</w:t>
      </w:r>
    </w:p>
    <w:p w14:paraId="4202339F" w14:textId="538E83D3" w:rsidR="00166875" w:rsidRDefault="00166875" w:rsidP="00166875">
      <w:pPr>
        <w:pStyle w:val="Akapitzlist"/>
        <w:numPr>
          <w:ilvl w:val="0"/>
          <w:numId w:val="1"/>
        </w:numPr>
        <w:jc w:val="both"/>
      </w:pPr>
      <w:r>
        <w:t>Uzasadnienie przedstawionych wartości</w:t>
      </w:r>
    </w:p>
    <w:p w14:paraId="24AA2FD1" w14:textId="77777777" w:rsidR="00166875" w:rsidRDefault="00166875" w:rsidP="00166875">
      <w:pPr>
        <w:pStyle w:val="Akapitzlist"/>
        <w:jc w:val="both"/>
      </w:pPr>
    </w:p>
    <w:p w14:paraId="0340CC8D" w14:textId="7AE24201" w:rsidR="00166875" w:rsidRDefault="00166875" w:rsidP="00CD4205">
      <w:pPr>
        <w:pStyle w:val="Akapitzlist"/>
        <w:ind w:left="0"/>
        <w:jc w:val="both"/>
      </w:pPr>
      <w:r>
        <w:t>Zgodnie z art. 226 ustawy z dnia 2009 o finansach publicznych w WPF Gminy Milejewo przedstawione zostały dla każdego roku objętego prognozą następujące wielkości:</w:t>
      </w:r>
    </w:p>
    <w:p w14:paraId="3240A4E5" w14:textId="77777777" w:rsidR="00CD4205" w:rsidRDefault="00CD4205" w:rsidP="00CD4205">
      <w:pPr>
        <w:pStyle w:val="Akapitzlist"/>
        <w:ind w:left="0"/>
        <w:jc w:val="both"/>
      </w:pPr>
    </w:p>
    <w:p w14:paraId="3A8FD062" w14:textId="397AE17B" w:rsidR="00166875" w:rsidRDefault="00BB65ED" w:rsidP="00CD4205">
      <w:pPr>
        <w:pStyle w:val="Akapitzlist"/>
        <w:numPr>
          <w:ilvl w:val="0"/>
          <w:numId w:val="2"/>
        </w:numPr>
        <w:ind w:left="426" w:hanging="426"/>
        <w:jc w:val="both"/>
      </w:pPr>
      <w:r>
        <w:t>Dochody bieżące i wydatki bieżące Gminy Milejewo, w tym na obsługę długu</w:t>
      </w:r>
    </w:p>
    <w:p w14:paraId="5432C6ED" w14:textId="094861FD" w:rsidR="00BB65ED" w:rsidRDefault="00BB65ED" w:rsidP="00CD4205">
      <w:pPr>
        <w:pStyle w:val="Akapitzlist"/>
        <w:numPr>
          <w:ilvl w:val="0"/>
          <w:numId w:val="2"/>
        </w:numPr>
        <w:ind w:left="426" w:hanging="426"/>
        <w:jc w:val="both"/>
      </w:pPr>
      <w:r>
        <w:t xml:space="preserve">Dochody </w:t>
      </w:r>
      <w:r w:rsidR="00D46BA2">
        <w:t xml:space="preserve"> i wyda</w:t>
      </w:r>
      <w:r w:rsidR="007D09B7">
        <w:t xml:space="preserve">tki </w:t>
      </w:r>
      <w:r>
        <w:t>majątkowe, w tym dochody ze sprzedaży majątku budżetu Gminy</w:t>
      </w:r>
    </w:p>
    <w:p w14:paraId="742CB9BD" w14:textId="3F4FE2D0" w:rsidR="00BB65ED" w:rsidRDefault="00BB65ED" w:rsidP="00CD4205">
      <w:pPr>
        <w:pStyle w:val="Akapitzlist"/>
        <w:numPr>
          <w:ilvl w:val="0"/>
          <w:numId w:val="2"/>
        </w:numPr>
        <w:ind w:left="426" w:hanging="426"/>
        <w:jc w:val="both"/>
      </w:pPr>
      <w:r>
        <w:t>Wynik budżetu Gminy Milejewo</w:t>
      </w:r>
    </w:p>
    <w:p w14:paraId="4D6DE67D" w14:textId="59195C2C" w:rsidR="00BB65ED" w:rsidRDefault="00BB65ED" w:rsidP="00CD4205">
      <w:pPr>
        <w:pStyle w:val="Akapitzlist"/>
        <w:numPr>
          <w:ilvl w:val="0"/>
          <w:numId w:val="2"/>
        </w:numPr>
        <w:ind w:left="426" w:hanging="426"/>
        <w:jc w:val="both"/>
      </w:pPr>
      <w:r>
        <w:t>Sposó</w:t>
      </w:r>
      <w:r w:rsidR="00CD4205">
        <w:t>b</w:t>
      </w:r>
      <w:r>
        <w:t xml:space="preserve"> pokrycia deficytu / </w:t>
      </w:r>
      <w:r w:rsidR="007D09B7">
        <w:t>rozdys</w:t>
      </w:r>
      <w:r w:rsidR="00965D23">
        <w:t xml:space="preserve">ponowania </w:t>
      </w:r>
      <w:r>
        <w:t>nadwyżki</w:t>
      </w:r>
    </w:p>
    <w:p w14:paraId="0A05CEE5" w14:textId="379FBACC" w:rsidR="00BB65ED" w:rsidRDefault="00BB65ED" w:rsidP="00CD4205">
      <w:pPr>
        <w:pStyle w:val="Akapitzlist"/>
        <w:numPr>
          <w:ilvl w:val="0"/>
          <w:numId w:val="2"/>
        </w:numPr>
        <w:ind w:left="426" w:hanging="426"/>
        <w:jc w:val="both"/>
      </w:pPr>
      <w:r>
        <w:t>Rozchody budżetu Gminy</w:t>
      </w:r>
    </w:p>
    <w:p w14:paraId="48A2E6C9" w14:textId="5BD9F48A" w:rsidR="00BB65ED" w:rsidRDefault="00BB65ED" w:rsidP="00CD4205">
      <w:pPr>
        <w:pStyle w:val="Akapitzlist"/>
        <w:numPr>
          <w:ilvl w:val="0"/>
          <w:numId w:val="2"/>
        </w:numPr>
        <w:ind w:left="426" w:hanging="426"/>
        <w:jc w:val="both"/>
      </w:pPr>
      <w:r>
        <w:t>Kwot</w:t>
      </w:r>
      <w:r w:rsidR="00CD4205">
        <w:t>ę</w:t>
      </w:r>
      <w:r>
        <w:t xml:space="preserve"> długu i sposób jego </w:t>
      </w:r>
      <w:r w:rsidR="00CD4205">
        <w:t>s</w:t>
      </w:r>
      <w:r>
        <w:t>finansowania</w:t>
      </w:r>
    </w:p>
    <w:p w14:paraId="2614169C" w14:textId="77777777" w:rsidR="00965D23" w:rsidRDefault="00965D23" w:rsidP="00965D23">
      <w:pPr>
        <w:jc w:val="both"/>
      </w:pPr>
    </w:p>
    <w:p w14:paraId="05D7DB77" w14:textId="1EA2C4B7" w:rsidR="00BB65ED" w:rsidRDefault="00BB65ED" w:rsidP="00BB65ED">
      <w:pPr>
        <w:jc w:val="both"/>
        <w:rPr>
          <w:b/>
          <w:bCs/>
        </w:rPr>
      </w:pPr>
      <w:r>
        <w:rPr>
          <w:b/>
          <w:bCs/>
        </w:rPr>
        <w:lastRenderedPageBreak/>
        <w:t>Cel i przedział czasowy Wieloletniej Prognozy Finansowej</w:t>
      </w:r>
    </w:p>
    <w:p w14:paraId="66623BAF" w14:textId="052C2D7A" w:rsidR="00BB65ED" w:rsidRDefault="00BB65ED" w:rsidP="00BB65ED">
      <w:pPr>
        <w:jc w:val="both"/>
      </w:pPr>
      <w:r>
        <w:t>Ramy czasowe zostały określone zostały przez ustawodawcę w art. 227 ustawy o finansach publicznych. Stosownie do tych postanowień, wieloletnia prognoza finansowa obejmuje okres roku budżetowego oraz co najmniej trzech kolejnych lat, przy czym okres ten nie może być krótszy niż okres, na jaki przyjęto limity wydatków wieloletnich  a w przypadku prognozy kwoty długu nie może być krótszy niż okres, na który zaciągnięto oraz planuje się zaciągnąć zobowiązania.</w:t>
      </w:r>
    </w:p>
    <w:p w14:paraId="4CB9BD40" w14:textId="70696D8D" w:rsidR="00BB65ED" w:rsidRDefault="00BB65ED" w:rsidP="00BB65ED">
      <w:pPr>
        <w:jc w:val="both"/>
      </w:pPr>
      <w:r>
        <w:t>Wieloletnia Prognoza Finansowa Gminy Milejewo obejmuje lata od 2025 do 2028. Gmina Milejewo planuje realizować przedsięwzięcie w latach 2025-2026 a dług – kredyt</w:t>
      </w:r>
      <w:r w:rsidR="00686852">
        <w:t>y</w:t>
      </w:r>
      <w:r>
        <w:t xml:space="preserve"> bankow</w:t>
      </w:r>
      <w:r w:rsidR="00686852">
        <w:t>e</w:t>
      </w:r>
      <w:r>
        <w:t xml:space="preserve"> Gmina zamierza spłacić w 2025 roku. </w:t>
      </w:r>
      <w:r w:rsidR="00686852">
        <w:t>Na moment sporządzania WPF Gmina nie planuje zaciągać nowych zobowiązań.</w:t>
      </w:r>
    </w:p>
    <w:p w14:paraId="6358D20E" w14:textId="77777777" w:rsidR="00BB65ED" w:rsidRDefault="00BB65ED" w:rsidP="00BB65ED">
      <w:pPr>
        <w:jc w:val="both"/>
      </w:pPr>
    </w:p>
    <w:p w14:paraId="6D6492D2" w14:textId="64F47CAC" w:rsidR="00BB65ED" w:rsidRDefault="00BB65ED" w:rsidP="00BB65ED">
      <w:pPr>
        <w:jc w:val="both"/>
        <w:rPr>
          <w:b/>
          <w:bCs/>
        </w:rPr>
      </w:pPr>
      <w:r>
        <w:rPr>
          <w:b/>
          <w:bCs/>
        </w:rPr>
        <w:t xml:space="preserve">Wpływ czynników </w:t>
      </w:r>
      <w:r w:rsidR="00A93116">
        <w:rPr>
          <w:b/>
          <w:bCs/>
        </w:rPr>
        <w:t xml:space="preserve">mikro i </w:t>
      </w:r>
      <w:r>
        <w:rPr>
          <w:b/>
          <w:bCs/>
        </w:rPr>
        <w:t xml:space="preserve">makroekonomicznych </w:t>
      </w:r>
      <w:r w:rsidR="00A93116">
        <w:rPr>
          <w:b/>
          <w:bCs/>
        </w:rPr>
        <w:t>na planowanie wielkości budżetowych</w:t>
      </w:r>
    </w:p>
    <w:p w14:paraId="7C7C7126" w14:textId="56E51203" w:rsidR="00A93116" w:rsidRDefault="00A93116" w:rsidP="00BB65ED">
      <w:pPr>
        <w:jc w:val="both"/>
      </w:pPr>
      <w:r>
        <w:t xml:space="preserve">Przy planowaniu poszczególnych wielkości budżetowych kierowano się wytycznymi makroekonomicznymi będącymi podstawą i punktem wyjściowym do planowania podstawowych wielkości budżetu Gminy, jak również trendami i założeniami dotyczącymi funkcjonowania organizmu wewnątrz. Do budowy WPF Gminy Milejewo przyjęto prognozy wynikające z wytycznych Ministerstwa Finansów w zakresie stosowania jednolitych wskaźników makroekonomicznych będących podstawą oszacowania skutków finansowych projektowanych ustaw, wg stanu na październik 2024 roku. </w:t>
      </w:r>
    </w:p>
    <w:p w14:paraId="11F0A0B4" w14:textId="77777777" w:rsidR="00A93116" w:rsidRDefault="00A93116" w:rsidP="00BB65ED">
      <w:pPr>
        <w:jc w:val="both"/>
      </w:pPr>
    </w:p>
    <w:p w14:paraId="767845FA" w14:textId="29A87E62" w:rsidR="00A93116" w:rsidRDefault="00A93116" w:rsidP="00BB65ED">
      <w:pPr>
        <w:jc w:val="both"/>
        <w:rPr>
          <w:b/>
          <w:bCs/>
        </w:rPr>
      </w:pPr>
      <w:r>
        <w:rPr>
          <w:b/>
          <w:bCs/>
        </w:rPr>
        <w:t>Przedstawieni prognozy długookresowej i uzasadnienie planowanych wartości</w:t>
      </w:r>
    </w:p>
    <w:p w14:paraId="24754E5E" w14:textId="4022F88F" w:rsidR="00A93116" w:rsidRDefault="00671470" w:rsidP="00BB65ED">
      <w:pPr>
        <w:jc w:val="both"/>
      </w:pPr>
      <w:r>
        <w:t xml:space="preserve">W roku 2025 zaplanowano dochody bieżące zgodnie z </w:t>
      </w:r>
      <w:r w:rsidR="00093F59">
        <w:t>otrzymanymi</w:t>
      </w:r>
      <w:r>
        <w:t xml:space="preserve"> informacjami od Ministra Finansów w zakresie subwencji oraz udziałów w podatku dochodowym od osób fizycznych oraz z godnie z otrzymaną informacją od Wojewody Warmińsko-Mazurskiego w zakresie dotacji. W roku 2025 zwiększono plan dochodów z </w:t>
      </w:r>
      <w:r w:rsidR="00093F59">
        <w:t>podatków</w:t>
      </w:r>
      <w:r>
        <w:t xml:space="preserve"> </w:t>
      </w:r>
      <w:r w:rsidR="00093F59">
        <w:t xml:space="preserve">oraz innych danin </w:t>
      </w:r>
      <w:r>
        <w:t xml:space="preserve">realizowanych </w:t>
      </w:r>
      <w:r w:rsidR="00093F59">
        <w:t xml:space="preserve">na rzecz Gminy. </w:t>
      </w:r>
      <w:r>
        <w:t xml:space="preserve"> Szczegółowe kształtowanie się dochodów roku 2025 przestawia uzasadnienie do projektu uchwały budżetowej na 2025</w:t>
      </w:r>
      <w:r w:rsidR="00FE63F0">
        <w:t xml:space="preserve"> rok</w:t>
      </w:r>
      <w:r>
        <w:t>.</w:t>
      </w:r>
    </w:p>
    <w:p w14:paraId="16F806F5" w14:textId="437605E1" w:rsidR="00671470" w:rsidRDefault="00671470" w:rsidP="00671470">
      <w:pPr>
        <w:jc w:val="both"/>
      </w:pPr>
      <w:r>
        <w:t xml:space="preserve">Przy prognozowaniu </w:t>
      </w:r>
      <w:r w:rsidR="00FE63F0">
        <w:t>dochodów</w:t>
      </w:r>
      <w:r>
        <w:t xml:space="preserve"> budżetowych zaplanowano zmiany wynikające ze zmiany ustawy o dochodach jednostek samorządu terytorialnego w zakresie kalkulacji wpływów z podatku dochodowego od osób fizycznych i prawnych oraz zasad kalkulacji subwencji ogólnej. </w:t>
      </w:r>
    </w:p>
    <w:p w14:paraId="26CF12E6" w14:textId="4ABBAE25" w:rsidR="00671470" w:rsidRDefault="00671470" w:rsidP="00BB65ED">
      <w:pPr>
        <w:jc w:val="both"/>
      </w:pPr>
      <w:r>
        <w:t>Dochody bież</w:t>
      </w:r>
      <w:r w:rsidR="006462C6">
        <w:t>ąc</w:t>
      </w:r>
      <w:r>
        <w:t xml:space="preserve">e na 2025 rok zaplanowano w kwocie  </w:t>
      </w:r>
      <w:r w:rsidR="00590F07">
        <w:t>20 657 321,56 zł.</w:t>
      </w:r>
      <w:r>
        <w:t xml:space="preserve">, co stanowi wartość  wyższą o </w:t>
      </w:r>
      <w:r w:rsidR="00B638AE">
        <w:t>15,94% d</w:t>
      </w:r>
      <w:r>
        <w:t xml:space="preserve">o dochodów bieżących roku 2024 planowanych do wykonania. Powyższe spowodowane jest </w:t>
      </w:r>
      <w:r w:rsidR="006622DD">
        <w:t xml:space="preserve">częściowo </w:t>
      </w:r>
      <w:r>
        <w:t xml:space="preserve">wzrostem wartości kwot </w:t>
      </w:r>
      <w:r w:rsidR="006622DD">
        <w:t xml:space="preserve">przyznanych gminie z  </w:t>
      </w:r>
      <w:r>
        <w:t xml:space="preserve">udziału w podatku dochodowym wraz z </w:t>
      </w:r>
      <w:r w:rsidR="00B638AE">
        <w:t>subwencją</w:t>
      </w:r>
      <w:r>
        <w:t xml:space="preserve"> ogólną </w:t>
      </w:r>
      <w:r w:rsidR="006622DD">
        <w:t xml:space="preserve"> W</w:t>
      </w:r>
      <w:r w:rsidR="006462C6">
        <w:t xml:space="preserve"> roku 2025 </w:t>
      </w:r>
      <w:r w:rsidR="006622DD">
        <w:t>udział</w:t>
      </w:r>
      <w:r w:rsidR="003F524B">
        <w:t xml:space="preserve"> w podatku dochodowy wraz z subwencją ogólną i rezerwą subwencji ogólnej</w:t>
      </w:r>
      <w:r w:rsidR="00D53542">
        <w:t xml:space="preserve"> wzrósł o </w:t>
      </w:r>
      <w:r w:rsidR="00AE5A4D">
        <w:t>2 970 884,98 zł. (</w:t>
      </w:r>
      <w:r w:rsidR="003F524B">
        <w:t xml:space="preserve"> </w:t>
      </w:r>
      <w:r w:rsidR="00D53542">
        <w:t>11 794 897,98 zł</w:t>
      </w:r>
      <w:r w:rsidR="00706D8F">
        <w:t>. -p</w:t>
      </w:r>
      <w:r w:rsidR="006462C6">
        <w:t>lan na 2025</w:t>
      </w:r>
      <w:r w:rsidR="00706D8F">
        <w:t xml:space="preserve">, 8 824013,00 zł.- kwota </w:t>
      </w:r>
      <w:r w:rsidR="006462C6">
        <w:t>z 2024 roku</w:t>
      </w:r>
      <w:r w:rsidR="00706D8F">
        <w:t>)</w:t>
      </w:r>
      <w:r w:rsidR="006462C6">
        <w:t xml:space="preserve">. </w:t>
      </w:r>
    </w:p>
    <w:p w14:paraId="25BAA4BE" w14:textId="3DAE243F" w:rsidR="006462C6" w:rsidRDefault="006462C6" w:rsidP="006462C6">
      <w:pPr>
        <w:jc w:val="both"/>
      </w:pPr>
      <w:r>
        <w:t>Z uwagi na fakt, iż 2025 rok jest pierwszym rokiem funkcjonowania nowej ustawy o</w:t>
      </w:r>
      <w:r w:rsidR="00DA72A4">
        <w:t xml:space="preserve"> dochodach</w:t>
      </w:r>
      <w:r w:rsidR="00F30135">
        <w:t xml:space="preserve"> jednostek samorządu terytorialnego oraz uwzględniając informacje </w:t>
      </w:r>
      <w:r>
        <w:t>przekazan</w:t>
      </w:r>
      <w:r w:rsidR="00201122">
        <w:t xml:space="preserve">e przez </w:t>
      </w:r>
      <w:r>
        <w:t>Ministerstw</w:t>
      </w:r>
      <w:r w:rsidR="00201122">
        <w:t xml:space="preserve">o, </w:t>
      </w:r>
      <w:r>
        <w:t xml:space="preserve">iż kolejne lata będą jednocześnie latami doprecyzowania ustawy oraz korygowaniem ewentualnych błędów, przyjęto, że udział w podatkach dochodowych oraz subwencji </w:t>
      </w:r>
      <w:r w:rsidR="00201122">
        <w:t xml:space="preserve">ogólnej </w:t>
      </w:r>
      <w:r w:rsidR="0002559A">
        <w:t>a także wysokość rezerwy z subwencji ogólnej</w:t>
      </w:r>
      <w:r>
        <w:t xml:space="preserve"> Gminie Milejewo pozostaną na niezmienionym poziomie</w:t>
      </w:r>
      <w:r w:rsidR="0002559A">
        <w:t xml:space="preserve">  w okresie 2026-2028</w:t>
      </w:r>
      <w:r>
        <w:t xml:space="preserve">. Również kwoty dotacji zostaną pozostawione na </w:t>
      </w:r>
      <w:r>
        <w:lastRenderedPageBreak/>
        <w:t>podobnym poziomie jak roku 202</w:t>
      </w:r>
      <w:r w:rsidR="0002559A">
        <w:t>5</w:t>
      </w:r>
      <w:r>
        <w:t xml:space="preserve">r. Zakłada się bowiem, że </w:t>
      </w:r>
      <w:r w:rsidR="00E00036">
        <w:t xml:space="preserve">sytuacja społeczna i gospodarcza gminy jest na tyle stabilna, że </w:t>
      </w:r>
      <w:r>
        <w:t xml:space="preserve">nie ma przesłanek ani do radykalnego obniżenia dotacji ani do znacznego ich zwiększenia. </w:t>
      </w:r>
    </w:p>
    <w:p w14:paraId="04A414B2" w14:textId="61B23A1C" w:rsidR="006462C6" w:rsidRDefault="006462C6" w:rsidP="00BB65ED">
      <w:pPr>
        <w:jc w:val="both"/>
      </w:pPr>
      <w:r>
        <w:t>Na rok 2025 zaplanowano</w:t>
      </w:r>
      <w:r w:rsidR="00093467">
        <w:t xml:space="preserve"> wzrost</w:t>
      </w:r>
      <w:r w:rsidR="00FA3C47">
        <w:t xml:space="preserve"> </w:t>
      </w:r>
      <w:r>
        <w:t xml:space="preserve">dochodów bieżących </w:t>
      </w:r>
      <w:r w:rsidR="00E76AB2">
        <w:t xml:space="preserve">z tytułu podatków i innych danin publicznych uzyskanych przez gminę </w:t>
      </w:r>
      <w:r>
        <w:t xml:space="preserve">o </w:t>
      </w:r>
      <w:r w:rsidR="00B24BCD">
        <w:t>3,15% w</w:t>
      </w:r>
      <w:r>
        <w:t xml:space="preserve"> stosunku do 2024 roku, w kolejnych latach prognozuje się wzrost w każdym roku o </w:t>
      </w:r>
      <w:r w:rsidR="0025221E">
        <w:t>3,15%</w:t>
      </w:r>
      <w:r w:rsidR="00681181">
        <w:t xml:space="preserve"> w stosunku do roku poprzednie</w:t>
      </w:r>
      <w:r w:rsidR="00415C48">
        <w:t xml:space="preserve"> przy czym zakłada się, że dochody bieżące wzrosną w stopniu wyższym niż wzrost dochodów z podatków i danin, gdyż planuje się wzrost dochodów z czynszów i najmu.</w:t>
      </w:r>
    </w:p>
    <w:p w14:paraId="7235B1C0" w14:textId="5E11859B" w:rsidR="00E00036" w:rsidRDefault="00E00036" w:rsidP="00BB65ED">
      <w:pPr>
        <w:jc w:val="both"/>
      </w:pPr>
      <w:r>
        <w:t xml:space="preserve">Dochody majątkowe w 2025r. zaplanowano w oparciu o podpisane umowy dotyczące dofinansowania realizacji zadań inwestycyjnych. </w:t>
      </w:r>
      <w:r w:rsidR="009614E6">
        <w:t>P</w:t>
      </w:r>
      <w:r>
        <w:t xml:space="preserve">raktycznie wszystkie planowane inwestycje będą realizowane w okresie rocznym i planuje się ich zakończenie w 2025 roku. </w:t>
      </w:r>
      <w:r w:rsidR="009614E6">
        <w:t>W  2025 roku dodatkowo planuje się uzyskanie dochodów ze sprzedaży majątku gminy w wysokości 650 000,00 zł. W kolejnych latach nie planuje się sprzedaży maj</w:t>
      </w:r>
      <w:r w:rsidR="00246179">
        <w:t>ątku.</w:t>
      </w:r>
    </w:p>
    <w:p w14:paraId="6244846D" w14:textId="689911FD" w:rsidR="00E00036" w:rsidRDefault="00246179" w:rsidP="00BB65ED">
      <w:pPr>
        <w:jc w:val="both"/>
      </w:pPr>
      <w:r>
        <w:t>Natomiast zakłada się, że w</w:t>
      </w:r>
      <w:r w:rsidR="00E00036">
        <w:t xml:space="preserve"> kolejnych latach prognozy </w:t>
      </w:r>
      <w:r>
        <w:t xml:space="preserve">poziom uzyskanego dofinansowania </w:t>
      </w:r>
      <w:r w:rsidR="0069714E">
        <w:t>na realizację inwestycji będzie stanowił co najmniej 80% kosztów inwestycji.</w:t>
      </w:r>
      <w:r w:rsidR="00E00036">
        <w:t xml:space="preserve"> </w:t>
      </w:r>
      <w:r w:rsidR="00C500D0">
        <w:t>W roku 2026</w:t>
      </w:r>
      <w:r w:rsidR="00FC2D9F">
        <w:t xml:space="preserve"> planuje się inwestycję w zakresie modernizacji</w:t>
      </w:r>
      <w:r w:rsidR="0017514C">
        <w:t xml:space="preserve"> sieci wodno-kanalizacyjnej gminy. Szacuje się koszt inwestycji na kwotę 6 </w:t>
      </w:r>
      <w:r w:rsidR="003F2C5A">
        <w:t>5</w:t>
      </w:r>
      <w:r w:rsidR="0017514C">
        <w:t>00 000,00 z</w:t>
      </w:r>
      <w:r w:rsidR="003E4E08">
        <w:t>ł</w:t>
      </w:r>
      <w:r w:rsidR="003F2C5A">
        <w:t xml:space="preserve"> z tego przyjmuje się, że zostanie uzyskane dofinansowanie w wysokości </w:t>
      </w:r>
      <w:r w:rsidR="007C1F34">
        <w:t>80% kosztów.</w:t>
      </w:r>
      <w:r w:rsidR="00F41F96">
        <w:t xml:space="preserve"> Analizując dane historyczne gminy można stwierdzić, że gmina w każdym roku realizuje inwestycje</w:t>
      </w:r>
      <w:r w:rsidR="000D332F">
        <w:t xml:space="preserve">, które częściowo finansowane są ze środków zewnętrznych. </w:t>
      </w:r>
      <w:r w:rsidR="002859A3">
        <w:t xml:space="preserve">Przyjmując założenia, że ten trend w gminie zostanie utrzymany w prognozie przyjęto </w:t>
      </w:r>
      <w:r w:rsidR="00E55A69">
        <w:t>uzyskanie dofinansowania w wysokości 2 000 000,00 zł. rocznie w latach 2026-2028.</w:t>
      </w:r>
      <w:r w:rsidR="00E00036">
        <w:t xml:space="preserve"> </w:t>
      </w:r>
    </w:p>
    <w:p w14:paraId="4951BE13" w14:textId="77777777" w:rsidR="00E00036" w:rsidRDefault="00E00036" w:rsidP="00BB65ED">
      <w:pPr>
        <w:jc w:val="both"/>
      </w:pPr>
    </w:p>
    <w:p w14:paraId="7237A680" w14:textId="76292874" w:rsidR="0016623A" w:rsidRDefault="00556288" w:rsidP="0016623A">
      <w:pPr>
        <w:jc w:val="both"/>
      </w:pPr>
      <w:r>
        <w:t>W przypadku wydatków bieżących</w:t>
      </w:r>
      <w:r w:rsidR="00E00036">
        <w:t xml:space="preserve"> w 2025 roku</w:t>
      </w:r>
      <w:r>
        <w:t xml:space="preserve">, tak jak i w przypadku dochodów, planuje się wzrost o </w:t>
      </w:r>
      <w:r w:rsidR="004862A3">
        <w:t>14,63%</w:t>
      </w:r>
      <w:r w:rsidR="00E00036">
        <w:t xml:space="preserve"> </w:t>
      </w:r>
      <w:r>
        <w:t xml:space="preserve">w stosunku do </w:t>
      </w:r>
      <w:r w:rsidR="00E00036">
        <w:t xml:space="preserve">2024 roku. W roku 2025 wydatki bieżące zaplanowano na poziomie </w:t>
      </w:r>
      <w:r w:rsidR="001F6DD8">
        <w:t xml:space="preserve">20 400 646,3 r. </w:t>
      </w:r>
      <w:r w:rsidR="00130D58">
        <w:t>W kolejnych latach gmina planuje otworzyć żłobek gminny</w:t>
      </w:r>
      <w:r w:rsidR="00015F81">
        <w:t xml:space="preserve"> co winno mieć odzwierciedlenie w prognozowanym wzroście wydatków bież</w:t>
      </w:r>
      <w:r w:rsidR="0016623A">
        <w:t>ących. Na lata 2026-2028 dokonano również indeksacji wydatków na wynagrodzenia i pochodne od wynagrodzeń w oparciu o wagi wskaźników PKB i wynagrodzeń</w:t>
      </w:r>
      <w:r w:rsidR="002235D8">
        <w:t xml:space="preserve"> zawarte w wytycznych </w:t>
      </w:r>
      <w:r w:rsidR="007666C6">
        <w:t>wskaźników makroekonomicznych przedstawionych przez Ministerstwo.</w:t>
      </w:r>
    </w:p>
    <w:p w14:paraId="393F826D" w14:textId="34CAC5DE" w:rsidR="007666C6" w:rsidRDefault="007666C6" w:rsidP="007666C6">
      <w:pPr>
        <w:jc w:val="both"/>
      </w:pPr>
      <w:r>
        <w:t>Podobne założenia przyjęto w przypadku prognozowania pozostałych wydatków</w:t>
      </w:r>
      <w:r w:rsidR="008F048A">
        <w:t xml:space="preserve">. Przy czym na lata 2026-2028 prognozuje się zmniejszenie kwoty na remonty bieżące z uwagi na fakt, iż </w:t>
      </w:r>
      <w:r w:rsidR="004660C8">
        <w:t>istotna część remontu została zaplanowana na 2025 rok.</w:t>
      </w:r>
    </w:p>
    <w:p w14:paraId="2872E466" w14:textId="68AFA370" w:rsidR="005F1A77" w:rsidRDefault="005F1A77" w:rsidP="00BB65ED">
      <w:pPr>
        <w:jc w:val="both"/>
      </w:pPr>
      <w:r>
        <w:t>Wydatki na obsługę długu zaplanowano wyłącznie na rok 2025</w:t>
      </w:r>
      <w:r w:rsidR="00561E4F">
        <w:t xml:space="preserve"> – zakończenie spłaty kredytó</w:t>
      </w:r>
      <w:r w:rsidR="004660C8">
        <w:t>w</w:t>
      </w:r>
      <w:r w:rsidR="00561E4F">
        <w:t xml:space="preserve"> bankowych w październiku 2025r.</w:t>
      </w:r>
      <w:r w:rsidR="0043184E">
        <w:t xml:space="preserve"> Aktualnie gmina nie planuje zaciągania nowych zobowiązań</w:t>
      </w:r>
      <w:r>
        <w:t>.</w:t>
      </w:r>
    </w:p>
    <w:p w14:paraId="16322FE0" w14:textId="53BB2158" w:rsidR="003A40BE" w:rsidRDefault="00110F43" w:rsidP="003A40BE">
      <w:pPr>
        <w:jc w:val="both"/>
      </w:pPr>
      <w:r>
        <w:t xml:space="preserve">Wydatki majątkowe w 2025 roku </w:t>
      </w:r>
      <w:r w:rsidR="008C644E">
        <w:t>odpowiadają w</w:t>
      </w:r>
      <w:r w:rsidR="00E27288">
        <w:t>a</w:t>
      </w:r>
      <w:r w:rsidR="008C644E">
        <w:t xml:space="preserve">rtościom przedstawionym w załączniku do uchwały budżetowej na 2025r. </w:t>
      </w:r>
      <w:r w:rsidR="00A221E9">
        <w:t>Kolejne prognozy zakładają</w:t>
      </w:r>
      <w:r w:rsidR="0023504D">
        <w:t xml:space="preserve"> zakończenie </w:t>
      </w:r>
      <w:r w:rsidR="00A221E9">
        <w:t xml:space="preserve"> realizacj</w:t>
      </w:r>
      <w:r w:rsidR="0023504D">
        <w:t>i</w:t>
      </w:r>
      <w:r w:rsidR="00A221E9">
        <w:t xml:space="preserve"> w 2026 roku przedsięwzięcia </w:t>
      </w:r>
      <w:r w:rsidR="00B6500D">
        <w:t>– „Modernizacj</w:t>
      </w:r>
      <w:r w:rsidR="0023504D">
        <w:t>a</w:t>
      </w:r>
      <w:r w:rsidR="00B6500D">
        <w:t xml:space="preserve"> i przebudowa dróg i placów gminnych”</w:t>
      </w:r>
      <w:r w:rsidR="00CC3411">
        <w:t>.</w:t>
      </w:r>
      <w:r w:rsidR="005B0024">
        <w:t xml:space="preserve"> </w:t>
      </w:r>
      <w:r w:rsidR="003A40BE">
        <w:t xml:space="preserve"> Analiza wydatków inwestycyjnych gminy lat ubiegłych wykazała, że wydatki inwestycyjnej gminy w ostatnich latach nie spadały poniżej 3 000 000,00 zł. Dlatego zakładając utrzymanie poziomu inwestycji na mini</w:t>
      </w:r>
      <w:r w:rsidR="002C22E9">
        <w:t>m</w:t>
      </w:r>
      <w:r w:rsidR="003A40BE">
        <w:t>alnym archiwalnym poziomie oraz uwzględniając strategiczne plany gminy dotyczące modernizacji sieci wodno-kanalizacyjnej w następnych latach 2026-2028 prognozuje się inwestycje na poziomie odpowiednio 2026</w:t>
      </w:r>
      <w:r w:rsidR="002C22E9">
        <w:t xml:space="preserve"> </w:t>
      </w:r>
      <w:r w:rsidR="003A40BE">
        <w:t>-</w:t>
      </w:r>
      <w:r w:rsidR="002C22E9">
        <w:t xml:space="preserve"> </w:t>
      </w:r>
      <w:r w:rsidR="003A40BE">
        <w:t xml:space="preserve">9 000 000,00zł., 2027 – 3 000 000,00 zł. 2028 – </w:t>
      </w:r>
      <w:r w:rsidR="003A40BE">
        <w:lastRenderedPageBreak/>
        <w:t>3 000 000,00 zł.</w:t>
      </w:r>
      <w:r w:rsidR="00FA4AFA">
        <w:t xml:space="preserve"> </w:t>
      </w:r>
      <w:r w:rsidR="00F02B84">
        <w:t xml:space="preserve">Gmina na ten moment planuje, iż w stosunku do wydatków inwestycyjnych uda jej się pozyskać </w:t>
      </w:r>
      <w:r w:rsidR="008058EF">
        <w:t>dofinansowanie w granicy 80% kosztów inwestycji.</w:t>
      </w:r>
    </w:p>
    <w:p w14:paraId="36D02411" w14:textId="77777777" w:rsidR="003A40BE" w:rsidRDefault="003A40BE" w:rsidP="00BB65ED">
      <w:pPr>
        <w:jc w:val="both"/>
      </w:pPr>
    </w:p>
    <w:p w14:paraId="2743F1FD" w14:textId="1F2809D5" w:rsidR="003E24F5" w:rsidRPr="003C4FB4" w:rsidRDefault="003E24F5" w:rsidP="003E24F5">
      <w:pPr>
        <w:jc w:val="both"/>
        <w:rPr>
          <w:b/>
          <w:bCs/>
        </w:rPr>
      </w:pPr>
      <w:r w:rsidRPr="003C4FB4">
        <w:rPr>
          <w:b/>
          <w:bCs/>
        </w:rPr>
        <w:t>Rozchody budżetu Gminy, kwota długu  sposób jego sfinansowania</w:t>
      </w:r>
    </w:p>
    <w:p w14:paraId="3A88E01E" w14:textId="7469C0D2" w:rsidR="003E24F5" w:rsidRDefault="003E24F5" w:rsidP="00BB65ED">
      <w:pPr>
        <w:jc w:val="both"/>
      </w:pPr>
      <w:r>
        <w:t xml:space="preserve">W latach 2026-2028 gmina nie planuje zaciągania zobowiązań </w:t>
      </w:r>
      <w:r w:rsidR="003C4FB4">
        <w:t>dłużnych.</w:t>
      </w:r>
    </w:p>
    <w:p w14:paraId="46F597B1" w14:textId="6C274B83" w:rsidR="00A93271" w:rsidRDefault="00A93271" w:rsidP="00BB65ED">
      <w:pPr>
        <w:jc w:val="both"/>
      </w:pPr>
      <w:r>
        <w:t xml:space="preserve">Począwszy od </w:t>
      </w:r>
      <w:r w:rsidR="005D62ED">
        <w:t>2014r. dla każdej jednostki samorządu terytorialnego obowiązuje indywidualny wskaźnik</w:t>
      </w:r>
      <w:r w:rsidR="00EF673A">
        <w:t xml:space="preserve"> zadłużenia, wyznaczający maksymalny, dopuszczalny limit spłat zobowiązań z tytułu zaciągniętych </w:t>
      </w:r>
      <w:r w:rsidR="009815FD">
        <w:t xml:space="preserve">kredytów, pożyczek wraz z odsetkami od kredytów i pożyczek oraz wyemitowanych </w:t>
      </w:r>
      <w:r w:rsidR="00652D65">
        <w:t>papierów wartościowych wraz z odsetkami i dyskontem od tych papierów wartościowych</w:t>
      </w:r>
      <w:r w:rsidR="00E93995">
        <w:t xml:space="preserve">. Poziom tego wskaźnika został zdefiniowany jako średnia arytmetyczna </w:t>
      </w:r>
      <w:r w:rsidR="009C2E93">
        <w:t xml:space="preserve">z obliczonych z ostatnich trzech lat relacji określonych w art. 243 ustawy o </w:t>
      </w:r>
      <w:r w:rsidR="00A61C49">
        <w:t>finansach publicznych. Relacje wskaźnika zostały zachowane w każdym roku prognozy.</w:t>
      </w:r>
    </w:p>
    <w:p w14:paraId="410DA7FD" w14:textId="77777777" w:rsidR="003C4FB4" w:rsidRDefault="003C4FB4" w:rsidP="000A5259">
      <w:pPr>
        <w:jc w:val="both"/>
        <w:rPr>
          <w:b/>
          <w:bCs/>
        </w:rPr>
      </w:pPr>
    </w:p>
    <w:p w14:paraId="594879D2" w14:textId="3FE9AACC" w:rsidR="000A5259" w:rsidRPr="003C4FB4" w:rsidRDefault="00E6412B" w:rsidP="000A5259">
      <w:pPr>
        <w:jc w:val="both"/>
        <w:rPr>
          <w:b/>
          <w:bCs/>
        </w:rPr>
      </w:pPr>
      <w:r>
        <w:rPr>
          <w:b/>
          <w:bCs/>
        </w:rPr>
        <w:t xml:space="preserve">Deficyt/ nadwyżka finansowa oraz </w:t>
      </w:r>
      <w:r w:rsidR="000A5259" w:rsidRPr="003C4FB4">
        <w:rPr>
          <w:b/>
          <w:bCs/>
        </w:rPr>
        <w:t>Wynik budżetu</w:t>
      </w:r>
    </w:p>
    <w:p w14:paraId="73195B81" w14:textId="2B234D09" w:rsidR="00812E61" w:rsidRPr="00A93116" w:rsidRDefault="000A5259" w:rsidP="00812E61">
      <w:pPr>
        <w:jc w:val="both"/>
      </w:pPr>
      <w:r>
        <w:t>Wynik budżetu w prognozowanym okresie jest ściśle powiązany z przyjętymi</w:t>
      </w:r>
      <w:r w:rsidR="00812E61">
        <w:t xml:space="preserve"> </w:t>
      </w:r>
      <w:r>
        <w:t>założeniami do prognozy dochodów i wydatków. Fakt prognozowania w oparciu o dane</w:t>
      </w:r>
      <w:r w:rsidR="00812E61">
        <w:t xml:space="preserve"> </w:t>
      </w:r>
      <w:r>
        <w:t>makroekonomiczne o niewielkiej zmienności powoduje zrównoważony i stabilny wzrost</w:t>
      </w:r>
      <w:r w:rsidR="00812E61">
        <w:t xml:space="preserve"> </w:t>
      </w:r>
      <w:r>
        <w:t>dochodów oraz wydatków bieżących, któremu można przypisać cechy statystyczne.</w:t>
      </w:r>
      <w:r w:rsidR="00812E61">
        <w:t xml:space="preserve"> </w:t>
      </w:r>
      <w:r>
        <w:t>W całym prognozowanym okresie utrzymana została relacja z art. 242 (brak deficytu</w:t>
      </w:r>
      <w:r w:rsidR="00812E61">
        <w:t xml:space="preserve"> </w:t>
      </w:r>
      <w:r>
        <w:t>bieżącego).</w:t>
      </w:r>
      <w:r w:rsidR="00415C48">
        <w:t xml:space="preserve"> Jednakże wynik finansowy w prognozowanym okresie oscyluje blisko 0 chociaż jest ujemny. Wpływają na to inwestycje, które gmina , na ten moment</w:t>
      </w:r>
      <w:r>
        <w:t xml:space="preserve"> </w:t>
      </w:r>
      <w:r w:rsidR="00415C48">
        <w:t>chce realizować bez zaciągania zobowiązań ze źródeł zewnętrznych przy założeniu, że pozyskane środki nie będą większe niż 80% kosztów inwestycji. Docelowo wynik te może ulec zmianie,</w:t>
      </w:r>
      <w:r w:rsidR="00E77E0A">
        <w:t xml:space="preserve"> </w:t>
      </w:r>
      <w:r w:rsidR="00415C48">
        <w:t>gdyż gmina będzie starała się pozyskiwać dofinansowanie w maksymaln</w:t>
      </w:r>
      <w:r w:rsidR="00E77E0A">
        <w:t xml:space="preserve">ej wysokości. </w:t>
      </w:r>
      <w:r w:rsidR="00812E61">
        <w:t>Sytuacja Gminy Milejewo jest stabilna. Gmina terminowo reguluje swoje zobowiązania, a w całym okresie prognozy zachowana zostanie zarówno nadwyżka bieżąca (art. 242), jak i relacja z art. 243 ustawy o finansach publiczny</w:t>
      </w:r>
    </w:p>
    <w:sectPr w:rsidR="00812E61" w:rsidRPr="00A931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57D9A"/>
    <w:multiLevelType w:val="hybridMultilevel"/>
    <w:tmpl w:val="A4668F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BCA2A6B"/>
    <w:multiLevelType w:val="hybridMultilevel"/>
    <w:tmpl w:val="0F3CF5E8"/>
    <w:lvl w:ilvl="0" w:tplc="80800B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300962505">
    <w:abstractNumId w:val="0"/>
  </w:num>
  <w:num w:numId="2" w16cid:durableId="1269433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BB2"/>
    <w:rsid w:val="00015F81"/>
    <w:rsid w:val="0002559A"/>
    <w:rsid w:val="00093467"/>
    <w:rsid w:val="00093F59"/>
    <w:rsid w:val="000A5259"/>
    <w:rsid w:val="000D332F"/>
    <w:rsid w:val="000F3D1B"/>
    <w:rsid w:val="00110F43"/>
    <w:rsid w:val="00130D58"/>
    <w:rsid w:val="00151AD8"/>
    <w:rsid w:val="0016623A"/>
    <w:rsid w:val="00166875"/>
    <w:rsid w:val="0017514C"/>
    <w:rsid w:val="001C0805"/>
    <w:rsid w:val="001E212C"/>
    <w:rsid w:val="001F6DD8"/>
    <w:rsid w:val="00201122"/>
    <w:rsid w:val="002235D8"/>
    <w:rsid w:val="0023504D"/>
    <w:rsid w:val="00246179"/>
    <w:rsid w:val="0025221E"/>
    <w:rsid w:val="002859A3"/>
    <w:rsid w:val="002C22E9"/>
    <w:rsid w:val="002D0C21"/>
    <w:rsid w:val="00373213"/>
    <w:rsid w:val="00373B27"/>
    <w:rsid w:val="003A40BE"/>
    <w:rsid w:val="003A5CD9"/>
    <w:rsid w:val="003C4FB4"/>
    <w:rsid w:val="003E24F5"/>
    <w:rsid w:val="003E4E08"/>
    <w:rsid w:val="003F2C5A"/>
    <w:rsid w:val="003F524B"/>
    <w:rsid w:val="00415C48"/>
    <w:rsid w:val="004241F9"/>
    <w:rsid w:val="0043184E"/>
    <w:rsid w:val="00434D61"/>
    <w:rsid w:val="0044752B"/>
    <w:rsid w:val="004660C8"/>
    <w:rsid w:val="004862A3"/>
    <w:rsid w:val="005072F6"/>
    <w:rsid w:val="005077D2"/>
    <w:rsid w:val="00556288"/>
    <w:rsid w:val="00561E4F"/>
    <w:rsid w:val="00590F07"/>
    <w:rsid w:val="005B0024"/>
    <w:rsid w:val="005D62ED"/>
    <w:rsid w:val="005E5DAA"/>
    <w:rsid w:val="005F1A77"/>
    <w:rsid w:val="006462C6"/>
    <w:rsid w:val="00652D65"/>
    <w:rsid w:val="006622DD"/>
    <w:rsid w:val="00671470"/>
    <w:rsid w:val="00681181"/>
    <w:rsid w:val="00686852"/>
    <w:rsid w:val="0069714E"/>
    <w:rsid w:val="006B194F"/>
    <w:rsid w:val="006E495E"/>
    <w:rsid w:val="007063E5"/>
    <w:rsid w:val="00706D8F"/>
    <w:rsid w:val="007666C6"/>
    <w:rsid w:val="00773DBB"/>
    <w:rsid w:val="007C0F68"/>
    <w:rsid w:val="007C1F34"/>
    <w:rsid w:val="007D09B7"/>
    <w:rsid w:val="008058EF"/>
    <w:rsid w:val="00812E61"/>
    <w:rsid w:val="008C644E"/>
    <w:rsid w:val="008D3513"/>
    <w:rsid w:val="008F048A"/>
    <w:rsid w:val="00942AC3"/>
    <w:rsid w:val="009458E6"/>
    <w:rsid w:val="009614E6"/>
    <w:rsid w:val="00965D23"/>
    <w:rsid w:val="00977F34"/>
    <w:rsid w:val="009815FD"/>
    <w:rsid w:val="009B52DF"/>
    <w:rsid w:val="009C2E93"/>
    <w:rsid w:val="009F4D0D"/>
    <w:rsid w:val="00A221E9"/>
    <w:rsid w:val="00A61C49"/>
    <w:rsid w:val="00A712AE"/>
    <w:rsid w:val="00A93116"/>
    <w:rsid w:val="00A93271"/>
    <w:rsid w:val="00AE5A4D"/>
    <w:rsid w:val="00B224A9"/>
    <w:rsid w:val="00B24BCD"/>
    <w:rsid w:val="00B638AE"/>
    <w:rsid w:val="00B6500D"/>
    <w:rsid w:val="00B729FF"/>
    <w:rsid w:val="00BB65ED"/>
    <w:rsid w:val="00BC5DDA"/>
    <w:rsid w:val="00BD7BB2"/>
    <w:rsid w:val="00BE44D0"/>
    <w:rsid w:val="00BF70AC"/>
    <w:rsid w:val="00C02297"/>
    <w:rsid w:val="00C332BD"/>
    <w:rsid w:val="00C500D0"/>
    <w:rsid w:val="00CC3411"/>
    <w:rsid w:val="00CD4205"/>
    <w:rsid w:val="00D3023A"/>
    <w:rsid w:val="00D4547C"/>
    <w:rsid w:val="00D46BA2"/>
    <w:rsid w:val="00D53542"/>
    <w:rsid w:val="00D76B98"/>
    <w:rsid w:val="00D95469"/>
    <w:rsid w:val="00DA72A4"/>
    <w:rsid w:val="00E00036"/>
    <w:rsid w:val="00E212CF"/>
    <w:rsid w:val="00E27288"/>
    <w:rsid w:val="00E55A69"/>
    <w:rsid w:val="00E6412B"/>
    <w:rsid w:val="00E76AB2"/>
    <w:rsid w:val="00E77E0A"/>
    <w:rsid w:val="00E93995"/>
    <w:rsid w:val="00EA4F1F"/>
    <w:rsid w:val="00EF673A"/>
    <w:rsid w:val="00F02B84"/>
    <w:rsid w:val="00F30135"/>
    <w:rsid w:val="00F41F96"/>
    <w:rsid w:val="00FA3C47"/>
    <w:rsid w:val="00FA4AFA"/>
    <w:rsid w:val="00FC2D9F"/>
    <w:rsid w:val="00FE63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62A2E"/>
  <w15:chartTrackingRefBased/>
  <w15:docId w15:val="{437EEAB0-A126-4119-B3A2-90C15844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D7B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D7B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D7BB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D7BB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D7BB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D7BB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D7BB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D7BB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D7BB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D7BB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D7BB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D7BB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D7BB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D7BB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D7BB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D7BB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D7BB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D7BB2"/>
    <w:rPr>
      <w:rFonts w:eastAsiaTheme="majorEastAsia" w:cstheme="majorBidi"/>
      <w:color w:val="272727" w:themeColor="text1" w:themeTint="D8"/>
    </w:rPr>
  </w:style>
  <w:style w:type="paragraph" w:styleId="Tytu">
    <w:name w:val="Title"/>
    <w:basedOn w:val="Normalny"/>
    <w:next w:val="Normalny"/>
    <w:link w:val="TytuZnak"/>
    <w:uiPriority w:val="10"/>
    <w:qFormat/>
    <w:rsid w:val="00BD7B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D7BB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D7BB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D7BB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D7BB2"/>
    <w:pPr>
      <w:spacing w:before="160"/>
      <w:jc w:val="center"/>
    </w:pPr>
    <w:rPr>
      <w:i/>
      <w:iCs/>
      <w:color w:val="404040" w:themeColor="text1" w:themeTint="BF"/>
    </w:rPr>
  </w:style>
  <w:style w:type="character" w:customStyle="1" w:styleId="CytatZnak">
    <w:name w:val="Cytat Znak"/>
    <w:basedOn w:val="Domylnaczcionkaakapitu"/>
    <w:link w:val="Cytat"/>
    <w:uiPriority w:val="29"/>
    <w:rsid w:val="00BD7BB2"/>
    <w:rPr>
      <w:i/>
      <w:iCs/>
      <w:color w:val="404040" w:themeColor="text1" w:themeTint="BF"/>
    </w:rPr>
  </w:style>
  <w:style w:type="paragraph" w:styleId="Akapitzlist">
    <w:name w:val="List Paragraph"/>
    <w:basedOn w:val="Normalny"/>
    <w:uiPriority w:val="34"/>
    <w:qFormat/>
    <w:rsid w:val="00BD7BB2"/>
    <w:pPr>
      <w:ind w:left="720"/>
      <w:contextualSpacing/>
    </w:pPr>
  </w:style>
  <w:style w:type="character" w:styleId="Wyrnienieintensywne">
    <w:name w:val="Intense Emphasis"/>
    <w:basedOn w:val="Domylnaczcionkaakapitu"/>
    <w:uiPriority w:val="21"/>
    <w:qFormat/>
    <w:rsid w:val="00BD7BB2"/>
    <w:rPr>
      <w:i/>
      <w:iCs/>
      <w:color w:val="0F4761" w:themeColor="accent1" w:themeShade="BF"/>
    </w:rPr>
  </w:style>
  <w:style w:type="paragraph" w:styleId="Cytatintensywny">
    <w:name w:val="Intense Quote"/>
    <w:basedOn w:val="Normalny"/>
    <w:next w:val="Normalny"/>
    <w:link w:val="CytatintensywnyZnak"/>
    <w:uiPriority w:val="30"/>
    <w:qFormat/>
    <w:rsid w:val="00BD7B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D7BB2"/>
    <w:rPr>
      <w:i/>
      <w:iCs/>
      <w:color w:val="0F4761" w:themeColor="accent1" w:themeShade="BF"/>
    </w:rPr>
  </w:style>
  <w:style w:type="character" w:styleId="Odwoanieintensywne">
    <w:name w:val="Intense Reference"/>
    <w:basedOn w:val="Domylnaczcionkaakapitu"/>
    <w:uiPriority w:val="32"/>
    <w:qFormat/>
    <w:rsid w:val="00BD7B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1596</Words>
  <Characters>9581</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21854</dc:creator>
  <cp:keywords/>
  <dc:description/>
  <cp:lastModifiedBy>Joann Jakubowska</cp:lastModifiedBy>
  <cp:revision>4</cp:revision>
  <cp:lastPrinted>2024-11-12T15:26:00Z</cp:lastPrinted>
  <dcterms:created xsi:type="dcterms:W3CDTF">2024-11-12T13:11:00Z</dcterms:created>
  <dcterms:modified xsi:type="dcterms:W3CDTF">2024-11-12T15:35:00Z</dcterms:modified>
</cp:coreProperties>
</file>